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02047002"/>
        <w:docPartObj>
          <w:docPartGallery w:val="Cover Pages"/>
          <w:docPartUnique/>
        </w:docPartObj>
      </w:sdtPr>
      <w:sdtEndPr>
        <w:rPr>
          <w:b/>
          <w:bCs/>
          <w:color w:val="FF0000"/>
          <w:sz w:val="32"/>
          <w:szCs w:val="32"/>
        </w:rPr>
      </w:sdtEndPr>
      <w:sdtContent>
        <w:p w14:paraId="331BE436" w14:textId="31B2D981" w:rsidR="00466AD2" w:rsidRDefault="00466AD2">
          <w:r>
            <w:rPr>
              <w:noProof/>
            </w:rPr>
            <w:drawing>
              <wp:anchor distT="0" distB="0" distL="114300" distR="114300" simplePos="0" relativeHeight="251670528" behindDoc="1" locked="0" layoutInCell="1" allowOverlap="1" wp14:anchorId="32C72548" wp14:editId="4FF88796">
                <wp:simplePos x="0" y="0"/>
                <wp:positionH relativeFrom="margin">
                  <wp:posOffset>-63518</wp:posOffset>
                </wp:positionH>
                <wp:positionV relativeFrom="paragraph">
                  <wp:posOffset>-1168417</wp:posOffset>
                </wp:positionV>
                <wp:extent cx="5972961" cy="5972961"/>
                <wp:effectExtent l="0" t="0" r="0" b="0"/>
                <wp:wrapNone/>
                <wp:docPr id="1" name="Picture 1" descr="A group of tree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608407" name="Picture 1" descr="A group of trees with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72961" cy="59729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1277C6" w14:textId="77777777" w:rsidR="00466AD2" w:rsidRDefault="00466AD2" w:rsidP="00D5331E">
          <w:pPr>
            <w:rPr>
              <w:b/>
              <w:bCs/>
              <w:color w:val="FF0000"/>
              <w:sz w:val="32"/>
              <w:szCs w:val="32"/>
            </w:rPr>
          </w:pPr>
          <w:r>
            <w:rPr>
              <w:noProof/>
              <w:lang w:eastAsia="zh-CN"/>
            </w:rPr>
            <mc:AlternateContent>
              <mc:Choice Requires="wps">
                <w:drawing>
                  <wp:anchor distT="0" distB="0" distL="182880" distR="182880" simplePos="0" relativeHeight="251668480" behindDoc="0" locked="0" layoutInCell="1" allowOverlap="1" wp14:anchorId="61C28AC9" wp14:editId="59457C81">
                    <wp:simplePos x="0" y="0"/>
                    <wp:positionH relativeFrom="margin">
                      <wp:posOffset>667426</wp:posOffset>
                    </wp:positionH>
                    <wp:positionV relativeFrom="page">
                      <wp:posOffset>5840363</wp:posOffset>
                    </wp:positionV>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2801" w14:textId="2187E273" w:rsidR="00466AD2" w:rsidRPr="00FB371B" w:rsidRDefault="00000000" w:rsidP="00466AD2">
                                <w:pPr>
                                  <w:pStyle w:val="NoSpacing"/>
                                  <w:spacing w:before="40" w:after="560" w:line="216" w:lineRule="auto"/>
                                  <w:jc w:val="center"/>
                                  <w:rPr>
                                    <w:rFonts w:ascii="Calibri Light" w:hAnsi="Calibri Light" w:cs="Calibri Light"/>
                                    <w:b/>
                                    <w:color w:val="000000" w:themeColor="text1"/>
                                    <w:sz w:val="72"/>
                                    <w:szCs w:val="72"/>
                                  </w:rPr>
                                </w:pPr>
                                <w:sdt>
                                  <w:sdtPr>
                                    <w:rPr>
                                      <w:rFonts w:ascii="Calibri Light" w:hAnsi="Calibri Light" w:cs="Calibri Light"/>
                                      <w:b/>
                                      <w:color w:val="000000" w:themeColor="tex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466AD2" w:rsidRPr="00FB371B">
                                      <w:rPr>
                                        <w:rFonts w:ascii="Calibri Light" w:hAnsi="Calibri Light" w:cs="Calibri Light"/>
                                        <w:b/>
                                        <w:color w:val="000000" w:themeColor="text1"/>
                                        <w:sz w:val="72"/>
                                        <w:szCs w:val="72"/>
                                      </w:rPr>
                                      <w:t>Risk Factors</w:t>
                                    </w:r>
                                  </w:sdtContent>
                                </w:sdt>
                              </w:p>
                              <w:sdt>
                                <w:sdtPr>
                                  <w:rPr>
                                    <w:caps/>
                                    <w:color w:val="501549" w:themeColor="accent5" w:themeShade="80"/>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14:paraId="7E3EEDAF" w14:textId="2CFCEEB9" w:rsidR="00466AD2" w:rsidRPr="00466AD2" w:rsidRDefault="00466AD2" w:rsidP="00466AD2">
                                    <w:pPr>
                                      <w:pStyle w:val="NoSpacing"/>
                                      <w:spacing w:before="40" w:after="40"/>
                                      <w:rPr>
                                        <w:caps/>
                                        <w:color w:val="501549" w:themeColor="accent5" w:themeShade="80"/>
                                        <w:sz w:val="28"/>
                                        <w:szCs w:val="28"/>
                                      </w:rPr>
                                    </w:pPr>
                                    <w:r>
                                      <w:rPr>
                                        <w:caps/>
                                        <w:color w:val="501549" w:themeColor="accent5" w:themeShade="80"/>
                                        <w:sz w:val="28"/>
                                        <w:szCs w:val="28"/>
                                      </w:rPr>
                                      <w:t xml:space="preserve">     </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61C28AC9" id="_x0000_t202" coordsize="21600,21600" o:spt="202" path="m,l,21600r21600,l21600,xe">
                    <v:stroke joinstyle="miter"/>
                    <v:path gradientshapeok="t" o:connecttype="rect"/>
                  </v:shapetype>
                  <v:shape id="Text Box 131" o:spid="_x0000_s1026" type="#_x0000_t202" style="position:absolute;margin-left:52.55pt;margin-top:459.85pt;width:369pt;height:529.2pt;z-index:251668480;visibility:visible;mso-wrap-style:square;mso-width-percent:790;mso-height-percent:350;mso-wrap-distance-left:14.4pt;mso-wrap-distance-top:0;mso-wrap-distance-right:14.4pt;mso-wrap-distance-bottom:0;mso-position-horizontal:absolute;mso-position-horizontal-relative:margin;mso-position-vertical:absolute;mso-position-vertical-relative:page;mso-width-percent:79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" filled="f" stroked="f" strokeweight=".5pt">
                    <v:textbox style="mso-fit-shape-to-text:t" inset="0,0,0,0">
                      <w:txbxContent>
                        <w:p w14:paraId="327C2801" w14:textId="2187E273" w:rsidR="00466AD2" w:rsidRPr="00FB371B" w:rsidRDefault="00000000" w:rsidP="00466AD2">
                          <w:pPr>
                            <w:pStyle w:val="NoSpacing"/>
                            <w:spacing w:before="40" w:after="560" w:line="216" w:lineRule="auto"/>
                            <w:jc w:val="center"/>
                            <w:rPr>
                              <w:rFonts w:ascii="Calibri Light" w:hAnsi="Calibri Light" w:cs="Calibri Light"/>
                              <w:b/>
                              <w:color w:val="000000" w:themeColor="text1"/>
                              <w:sz w:val="72"/>
                              <w:szCs w:val="72"/>
                            </w:rPr>
                          </w:pPr>
                          <w:sdt>
                            <w:sdtPr>
                              <w:rPr>
                                <w:rFonts w:ascii="Calibri Light" w:hAnsi="Calibri Light" w:cs="Calibri Light"/>
                                <w:b/>
                                <w:color w:val="000000" w:themeColor="tex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466AD2" w:rsidRPr="00FB371B">
                                <w:rPr>
                                  <w:rFonts w:ascii="Calibri Light" w:hAnsi="Calibri Light" w:cs="Calibri Light"/>
                                  <w:b/>
                                  <w:color w:val="000000" w:themeColor="text1"/>
                                  <w:sz w:val="72"/>
                                  <w:szCs w:val="72"/>
                                </w:rPr>
                                <w:t>Risk Factors</w:t>
                              </w:r>
                            </w:sdtContent>
                          </w:sdt>
                        </w:p>
                        <w:sdt>
                          <w:sdtPr>
                            <w:rPr>
                              <w:caps/>
                              <w:color w:val="501549" w:themeColor="accent5" w:themeShade="80"/>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14:paraId="7E3EEDAF" w14:textId="2CFCEEB9" w:rsidR="00466AD2" w:rsidRPr="00466AD2" w:rsidRDefault="00466AD2" w:rsidP="00466AD2">
                              <w:pPr>
                                <w:pStyle w:val="NoSpacing"/>
                                <w:spacing w:before="40" w:after="40"/>
                                <w:rPr>
                                  <w:caps/>
                                  <w:color w:val="501549" w:themeColor="accent5" w:themeShade="80"/>
                                  <w:sz w:val="28"/>
                                  <w:szCs w:val="28"/>
                                </w:rPr>
                              </w:pPr>
                              <w:r>
                                <w:rPr>
                                  <w:caps/>
                                  <w:color w:val="501549" w:themeColor="accent5" w:themeShade="80"/>
                                  <w:sz w:val="28"/>
                                  <w:szCs w:val="28"/>
                                </w:rPr>
                                <w:t xml:space="preserve">     </w:t>
                              </w:r>
                            </w:p>
                          </w:sdtContent>
                        </w:sdt>
                      </w:txbxContent>
                    </v:textbox>
                    <w10:wrap type="square" anchorx="margin" anchory="page"/>
                  </v:shape>
                </w:pict>
              </mc:Fallback>
            </mc:AlternateContent>
          </w:r>
          <w:r>
            <w:rPr>
              <w:b/>
              <w:bCs/>
              <w:color w:val="FF0000"/>
              <w:sz w:val="32"/>
              <w:szCs w:val="32"/>
            </w:rPr>
            <w:br w:type="page"/>
          </w:r>
        </w:p>
      </w:sdtContent>
    </w:sdt>
    <w:p w14:paraId="04B1463B" w14:textId="4F8AD7C8" w:rsidR="002933F1" w:rsidRPr="00466AD2" w:rsidRDefault="002933F1" w:rsidP="00D5331E">
      <w:pPr>
        <w:rPr>
          <w:b/>
          <w:bCs/>
          <w:color w:val="FF0000"/>
          <w:sz w:val="32"/>
          <w:szCs w:val="32"/>
        </w:rPr>
      </w:pPr>
      <w:r w:rsidRPr="00D5331E">
        <w:rPr>
          <w:b/>
          <w:bCs/>
          <w:sz w:val="32"/>
          <w:szCs w:val="32"/>
        </w:rPr>
        <w:lastRenderedPageBreak/>
        <w:t>R</w:t>
      </w:r>
      <w:r w:rsidR="00CE5239">
        <w:rPr>
          <w:b/>
          <w:bCs/>
          <w:sz w:val="32"/>
          <w:szCs w:val="32"/>
        </w:rPr>
        <w:t>isk Factors</w:t>
      </w:r>
      <w:r w:rsidRPr="00D5331E">
        <w:rPr>
          <w:b/>
          <w:bCs/>
          <w:sz w:val="32"/>
          <w:szCs w:val="32"/>
        </w:rPr>
        <w:t xml:space="preserve"> </w:t>
      </w:r>
    </w:p>
    <w:p w14:paraId="1FDFE7D4" w14:textId="2A3F086E" w:rsidR="002933F1" w:rsidRPr="00E671B4" w:rsidRDefault="002933F1" w:rsidP="002933F1">
      <w:pPr>
        <w:rPr>
          <w:sz w:val="24"/>
        </w:rPr>
      </w:pPr>
      <w:r w:rsidRPr="00E671B4">
        <w:rPr>
          <w:sz w:val="24"/>
        </w:rPr>
        <w:t xml:space="preserve">This summary informs intending </w:t>
      </w:r>
      <w:r w:rsidR="003067FA" w:rsidRPr="00E671B4">
        <w:rPr>
          <w:sz w:val="24"/>
        </w:rPr>
        <w:t>S</w:t>
      </w:r>
      <w:r w:rsidRPr="00E671B4">
        <w:rPr>
          <w:sz w:val="24"/>
        </w:rPr>
        <w:t xml:space="preserve">ubscribers for </w:t>
      </w:r>
      <w:r w:rsidR="00633C50" w:rsidRPr="00E671B4">
        <w:rPr>
          <w:sz w:val="24"/>
        </w:rPr>
        <w:t>Convertible</w:t>
      </w:r>
      <w:r w:rsidRPr="00E671B4">
        <w:rPr>
          <w:sz w:val="24"/>
        </w:rPr>
        <w:t xml:space="preserve"> </w:t>
      </w:r>
      <w:r w:rsidR="00C663EA" w:rsidRPr="00E671B4">
        <w:rPr>
          <w:sz w:val="24"/>
        </w:rPr>
        <w:t xml:space="preserve">Redeemable </w:t>
      </w:r>
      <w:r w:rsidR="004A7148" w:rsidRPr="00E671B4">
        <w:rPr>
          <w:sz w:val="24"/>
        </w:rPr>
        <w:t>P</w:t>
      </w:r>
      <w:r w:rsidRPr="00E671B4">
        <w:rPr>
          <w:sz w:val="24"/>
        </w:rPr>
        <w:t xml:space="preserve">reference </w:t>
      </w:r>
      <w:r w:rsidR="004A7148" w:rsidRPr="00E671B4">
        <w:rPr>
          <w:sz w:val="24"/>
        </w:rPr>
        <w:t>S</w:t>
      </w:r>
      <w:r w:rsidRPr="00E671B4">
        <w:rPr>
          <w:sz w:val="24"/>
        </w:rPr>
        <w:t>hares (</w:t>
      </w:r>
      <w:r w:rsidR="00FD2E12" w:rsidRPr="00E671B4">
        <w:rPr>
          <w:sz w:val="24"/>
        </w:rPr>
        <w:t>C</w:t>
      </w:r>
      <w:r w:rsidR="00C663EA" w:rsidRPr="00E671B4">
        <w:rPr>
          <w:sz w:val="24"/>
        </w:rPr>
        <w:t>R</w:t>
      </w:r>
      <w:r w:rsidR="00FD2E12" w:rsidRPr="00E671B4">
        <w:rPr>
          <w:sz w:val="24"/>
        </w:rPr>
        <w:t>PS</w:t>
      </w:r>
      <w:r w:rsidR="0011489E" w:rsidRPr="00E671B4">
        <w:rPr>
          <w:sz w:val="24"/>
        </w:rPr>
        <w:t>) in</w:t>
      </w:r>
      <w:r w:rsidRPr="00E671B4">
        <w:rPr>
          <w:sz w:val="24"/>
        </w:rPr>
        <w:t xml:space="preserve"> </w:t>
      </w:r>
      <w:r w:rsidRPr="00E671B4">
        <w:rPr>
          <w:i/>
          <w:iCs/>
          <w:sz w:val="24"/>
        </w:rPr>
        <w:t>Tre</w:t>
      </w:r>
      <w:r w:rsidR="004A7148" w:rsidRPr="00E671B4">
        <w:rPr>
          <w:i/>
          <w:iCs/>
          <w:sz w:val="24"/>
        </w:rPr>
        <w:t>e</w:t>
      </w:r>
      <w:r w:rsidRPr="00E671B4">
        <w:rPr>
          <w:i/>
          <w:iCs/>
          <w:sz w:val="24"/>
        </w:rPr>
        <w:t>s4Good</w:t>
      </w:r>
      <w:r w:rsidRPr="00E671B4">
        <w:rPr>
          <w:b/>
          <w:bCs/>
          <w:sz w:val="24"/>
        </w:rPr>
        <w:t xml:space="preserve"> </w:t>
      </w:r>
      <w:r w:rsidRPr="00E671B4">
        <w:rPr>
          <w:sz w:val="24"/>
        </w:rPr>
        <w:t>(</w:t>
      </w:r>
      <w:r w:rsidR="004A7148" w:rsidRPr="00E671B4">
        <w:rPr>
          <w:sz w:val="24"/>
        </w:rPr>
        <w:t>T</w:t>
      </w:r>
      <w:r w:rsidRPr="00E671B4">
        <w:rPr>
          <w:sz w:val="24"/>
        </w:rPr>
        <w:t>4</w:t>
      </w:r>
      <w:r w:rsidR="004A7148" w:rsidRPr="00E671B4">
        <w:rPr>
          <w:sz w:val="24"/>
        </w:rPr>
        <w:t>G</w:t>
      </w:r>
      <w:r w:rsidRPr="00E671B4">
        <w:rPr>
          <w:sz w:val="24"/>
        </w:rPr>
        <w:t xml:space="preserve">) </w:t>
      </w:r>
      <w:r w:rsidR="00BB2E8F" w:rsidRPr="00E671B4">
        <w:rPr>
          <w:sz w:val="24"/>
        </w:rPr>
        <w:t xml:space="preserve">are </w:t>
      </w:r>
      <w:r w:rsidRPr="00E671B4">
        <w:rPr>
          <w:sz w:val="24"/>
        </w:rPr>
        <w:t xml:space="preserve">aware of the risks associated with such an investment.  </w:t>
      </w:r>
    </w:p>
    <w:p w14:paraId="6BCD71CD" w14:textId="380956D6" w:rsidR="002933F1" w:rsidRPr="00E671B4" w:rsidRDefault="002933F1" w:rsidP="002933F1">
      <w:pPr>
        <w:rPr>
          <w:sz w:val="24"/>
        </w:rPr>
      </w:pPr>
      <w:r w:rsidRPr="00E671B4">
        <w:rPr>
          <w:sz w:val="24"/>
        </w:rPr>
        <w:t xml:space="preserve">T4G only provides information and its interpretation of same. T4G does not give advice regarding the suitability of any investment to any third party.  </w:t>
      </w:r>
      <w:r w:rsidR="003067FA" w:rsidRPr="00E671B4">
        <w:rPr>
          <w:sz w:val="24"/>
        </w:rPr>
        <w:t>W</w:t>
      </w:r>
      <w:r w:rsidRPr="00E671B4">
        <w:rPr>
          <w:sz w:val="24"/>
        </w:rPr>
        <w:t>here figures, alternatives, or outcomes are shown or described, these are for illustration only and must not be relied upon.</w:t>
      </w:r>
    </w:p>
    <w:p w14:paraId="4393B1BF" w14:textId="6663656A" w:rsidR="002933F1" w:rsidRPr="00E671B4" w:rsidRDefault="004A7148" w:rsidP="002933F1">
      <w:pPr>
        <w:rPr>
          <w:sz w:val="24"/>
        </w:rPr>
      </w:pPr>
      <w:r w:rsidRPr="00E671B4">
        <w:rPr>
          <w:sz w:val="24"/>
        </w:rPr>
        <w:t>R</w:t>
      </w:r>
      <w:r w:rsidR="002933F1" w:rsidRPr="00E671B4">
        <w:rPr>
          <w:sz w:val="24"/>
        </w:rPr>
        <w:t>eferences to sources of material, weblinks, or websites were correct at date of issue. T4G cannot be responsible for any changes to access conditions, accuracy of content, or amendments made by any source.</w:t>
      </w:r>
    </w:p>
    <w:p w14:paraId="251153F0" w14:textId="67670980" w:rsidR="002933F1" w:rsidRPr="00E671B4" w:rsidRDefault="00C663EA" w:rsidP="002933F1">
      <w:pPr>
        <w:rPr>
          <w:sz w:val="24"/>
        </w:rPr>
      </w:pPr>
      <w:r w:rsidRPr="00E671B4">
        <w:rPr>
          <w:sz w:val="24"/>
        </w:rPr>
        <w:t>CRPS</w:t>
      </w:r>
      <w:r w:rsidR="002933F1" w:rsidRPr="00E671B4">
        <w:rPr>
          <w:sz w:val="24"/>
        </w:rPr>
        <w:t xml:space="preserve"> are issued by a private company with ultimate liability limited by Ordinary Shares, any cash holdings, and any net assets available.  </w:t>
      </w:r>
      <w:r w:rsidRPr="00E671B4">
        <w:rPr>
          <w:sz w:val="24"/>
        </w:rPr>
        <w:t>CRPS</w:t>
      </w:r>
      <w:r w:rsidR="002933F1" w:rsidRPr="00E671B4">
        <w:rPr>
          <w:sz w:val="24"/>
        </w:rPr>
        <w:t xml:space="preserve"> will not be traded on any exchange, and it is very unlikely that a market, private or otherwise, will be made for them.</w:t>
      </w:r>
    </w:p>
    <w:p w14:paraId="24CDD3FD" w14:textId="353E544A" w:rsidR="002933F1" w:rsidRPr="00D91476" w:rsidRDefault="00CE5239" w:rsidP="002933F1">
      <w:pPr>
        <w:rPr>
          <w:sz w:val="24"/>
        </w:rPr>
      </w:pPr>
      <w:r>
        <w:rPr>
          <w:iCs/>
          <w:sz w:val="24"/>
        </w:rPr>
        <w:t>T</w:t>
      </w:r>
      <w:r w:rsidR="00D91476">
        <w:rPr>
          <w:iCs/>
          <w:sz w:val="24"/>
        </w:rPr>
        <w:t>herefore, CRPS</w:t>
      </w:r>
      <w:r w:rsidR="00E671B4" w:rsidRPr="00D91476">
        <w:rPr>
          <w:iCs/>
          <w:sz w:val="24"/>
        </w:rPr>
        <w:t xml:space="preserve"> should be considered as highly illiquid</w:t>
      </w:r>
      <w:r w:rsidR="002933F1" w:rsidRPr="00D91476">
        <w:rPr>
          <w:sz w:val="24"/>
        </w:rPr>
        <w:t>.</w:t>
      </w:r>
    </w:p>
    <w:p w14:paraId="074A546D" w14:textId="2F7947B6" w:rsidR="002933F1" w:rsidRPr="00E671B4" w:rsidRDefault="002933F1" w:rsidP="002933F1">
      <w:pPr>
        <w:rPr>
          <w:sz w:val="24"/>
        </w:rPr>
      </w:pPr>
      <w:r w:rsidRPr="00E671B4">
        <w:rPr>
          <w:sz w:val="24"/>
        </w:rPr>
        <w:t>The underlying business may offer some asset value subject to market fluctuations, operating conditions</w:t>
      </w:r>
      <w:r w:rsidR="003067FA" w:rsidRPr="00E671B4">
        <w:rPr>
          <w:sz w:val="24"/>
        </w:rPr>
        <w:t xml:space="preserve"> </w:t>
      </w:r>
      <w:r w:rsidRPr="00E671B4">
        <w:rPr>
          <w:sz w:val="24"/>
        </w:rPr>
        <w:t>and demand for land, amenity, and types of timber from time to time.</w:t>
      </w:r>
    </w:p>
    <w:p w14:paraId="49957FF6" w14:textId="33009665" w:rsidR="002933F1" w:rsidRPr="00E671B4" w:rsidRDefault="00D91476" w:rsidP="002933F1">
      <w:pPr>
        <w:rPr>
          <w:sz w:val="24"/>
        </w:rPr>
      </w:pPr>
      <w:r>
        <w:rPr>
          <w:sz w:val="24"/>
        </w:rPr>
        <w:t>There may be no readily realisable market value for the CRPS and investors should assume they may be unable to sell them at any price</w:t>
      </w:r>
      <w:r w:rsidR="002933F1" w:rsidRPr="00E671B4">
        <w:rPr>
          <w:sz w:val="24"/>
        </w:rPr>
        <w:t>.</w:t>
      </w:r>
    </w:p>
    <w:p w14:paraId="075ADA36" w14:textId="2FAD4832" w:rsidR="002933F1" w:rsidRPr="00E671B4" w:rsidRDefault="00D91476" w:rsidP="002933F1">
      <w:pPr>
        <w:rPr>
          <w:sz w:val="24"/>
        </w:rPr>
      </w:pPr>
      <w:r>
        <w:rPr>
          <w:sz w:val="24"/>
        </w:rPr>
        <w:t>Forestry, b</w:t>
      </w:r>
      <w:r w:rsidR="002933F1" w:rsidRPr="00E671B4">
        <w:rPr>
          <w:sz w:val="24"/>
        </w:rPr>
        <w:t>y its very nat</w:t>
      </w:r>
      <w:r>
        <w:rPr>
          <w:sz w:val="24"/>
        </w:rPr>
        <w:t xml:space="preserve">ure involves significant risk. </w:t>
      </w:r>
      <w:r w:rsidR="002933F1" w:rsidRPr="00E671B4">
        <w:rPr>
          <w:sz w:val="24"/>
        </w:rPr>
        <w:t xml:space="preserve">Whilst </w:t>
      </w:r>
      <w:r w:rsidR="002151BD">
        <w:rPr>
          <w:sz w:val="24"/>
        </w:rPr>
        <w:t xml:space="preserve">Forestry investments are exposed to biological, environmental, commercial and regulatory risks. </w:t>
      </w:r>
      <w:r w:rsidR="002933F1" w:rsidRPr="00E671B4">
        <w:rPr>
          <w:sz w:val="24"/>
        </w:rPr>
        <w:t>high returns are possible, and the underlying land will have some (residual) value, no guarantees of success can be offered to investors.  Whilst demand for timber has been, and currently is, buoyant, this cannot be guaranteed in the future.  It’s use for many applications is expanding.  Good planting, maintenance, recovery, as well as good location, experience and knowledge are essential.</w:t>
      </w:r>
    </w:p>
    <w:p w14:paraId="4371F4ED" w14:textId="4D915DF3" w:rsidR="002933F1" w:rsidRPr="00E671B4" w:rsidRDefault="00147012" w:rsidP="002933F1">
      <w:pPr>
        <w:rPr>
          <w:sz w:val="24"/>
        </w:rPr>
      </w:pPr>
      <w:r>
        <w:rPr>
          <w:sz w:val="24"/>
        </w:rPr>
        <w:t>M</w:t>
      </w:r>
      <w:r w:rsidR="002933F1" w:rsidRPr="00E671B4">
        <w:rPr>
          <w:sz w:val="24"/>
        </w:rPr>
        <w:t xml:space="preserve">anagement </w:t>
      </w:r>
      <w:r>
        <w:rPr>
          <w:sz w:val="24"/>
        </w:rPr>
        <w:t xml:space="preserve">intends to manage </w:t>
      </w:r>
      <w:r w:rsidR="002933F1" w:rsidRPr="00E671B4">
        <w:rPr>
          <w:sz w:val="24"/>
        </w:rPr>
        <w:t>losses and risks, and exploit to the maximum positives and opportunities balanced against any risk factors.  Despite this, there are external factors beyond the control of management, E.g. Windblow, Government Policy.</w:t>
      </w:r>
    </w:p>
    <w:p w14:paraId="05CE017E" w14:textId="4A1E9718" w:rsidR="002933F1" w:rsidRPr="00E671B4" w:rsidRDefault="002933F1" w:rsidP="002933F1">
      <w:pPr>
        <w:rPr>
          <w:sz w:val="24"/>
        </w:rPr>
      </w:pPr>
      <w:r w:rsidRPr="00E671B4">
        <w:rPr>
          <w:sz w:val="24"/>
        </w:rPr>
        <w:t>To maximize returns</w:t>
      </w:r>
      <w:r w:rsidR="003067FA" w:rsidRPr="00E671B4">
        <w:rPr>
          <w:sz w:val="24"/>
        </w:rPr>
        <w:t xml:space="preserve"> </w:t>
      </w:r>
      <w:r w:rsidRPr="00E671B4">
        <w:rPr>
          <w:sz w:val="24"/>
        </w:rPr>
        <w:t>T4G will seek to broaden the cash take through thinning, leisure and sporting, E.g. Firewood, hiking/trails/ponds and s</w:t>
      </w:r>
      <w:r w:rsidR="00544B50" w:rsidRPr="00E671B4">
        <w:rPr>
          <w:sz w:val="24"/>
        </w:rPr>
        <w:t>porting</w:t>
      </w:r>
      <w:r w:rsidRPr="00E671B4">
        <w:rPr>
          <w:sz w:val="24"/>
        </w:rPr>
        <w:t>.</w:t>
      </w:r>
    </w:p>
    <w:p w14:paraId="4B1BE6A3" w14:textId="50B82181" w:rsidR="002933F1" w:rsidRPr="00CD109F" w:rsidRDefault="00534922" w:rsidP="002933F1">
      <w:r w:rsidRPr="00E671B4">
        <w:rPr>
          <w:sz w:val="24"/>
        </w:rPr>
        <w:t xml:space="preserve">Where possible (E.g. Part sale of larger holding) and at the earliest opportunity, T4G will seek to underpin the </w:t>
      </w:r>
      <w:r w:rsidR="00C663EA" w:rsidRPr="00E671B4">
        <w:rPr>
          <w:sz w:val="24"/>
        </w:rPr>
        <w:t>CRPS</w:t>
      </w:r>
      <w:r w:rsidRPr="00E671B4">
        <w:rPr>
          <w:sz w:val="24"/>
        </w:rPr>
        <w:t xml:space="preserve"> with a </w:t>
      </w:r>
      <w:proofErr w:type="gramStart"/>
      <w:r w:rsidRPr="00E671B4">
        <w:rPr>
          <w:sz w:val="24"/>
        </w:rPr>
        <w:t xml:space="preserve">high </w:t>
      </w:r>
      <w:r w:rsidR="00517741">
        <w:rPr>
          <w:sz w:val="24"/>
        </w:rPr>
        <w:t>quality</w:t>
      </w:r>
      <w:proofErr w:type="gramEnd"/>
      <w:r w:rsidR="00517741">
        <w:rPr>
          <w:sz w:val="24"/>
        </w:rPr>
        <w:t xml:space="preserve"> credit </w:t>
      </w:r>
      <w:r w:rsidRPr="00E671B4">
        <w:rPr>
          <w:sz w:val="24"/>
        </w:rPr>
        <w:t>instrument and (any) coupons attached</w:t>
      </w:r>
      <w:r w:rsidRPr="00CD109F">
        <w:t>.</w:t>
      </w:r>
    </w:p>
    <w:p w14:paraId="5C16F386" w14:textId="77777777" w:rsidR="00FB371B" w:rsidRDefault="00D5331E" w:rsidP="002933F1">
      <w:r>
        <w:t xml:space="preserve"> </w:t>
      </w:r>
    </w:p>
    <w:p w14:paraId="0878489D" w14:textId="04C33DD3" w:rsidR="00CE5239" w:rsidRDefault="00CE5239" w:rsidP="00CE52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42F0DC93" w14:textId="18D44B79" w:rsidR="00CE5239" w:rsidRPr="00CE5239" w:rsidRDefault="00CE5239" w:rsidP="00CE5239">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CE5239">
        <w:rPr>
          <w:rFonts w:ascii="Times New Roman" w:eastAsia="Times New Roman" w:hAnsi="Times New Roman" w:cs="Times New Roman"/>
          <w:b/>
          <w:bCs/>
          <w:kern w:val="0"/>
          <w:sz w:val="24"/>
          <w:szCs w:val="24"/>
          <w:lang w:eastAsia="en-GB"/>
          <w14:ligatures w14:val="none"/>
        </w:rPr>
        <w:t>Investment in CRPS involves significant risk</w:t>
      </w:r>
      <w:r w:rsidR="00517741">
        <w:rPr>
          <w:rFonts w:ascii="Times New Roman" w:eastAsia="Times New Roman" w:hAnsi="Times New Roman" w:cs="Times New Roman"/>
          <w:b/>
          <w:bCs/>
          <w:kern w:val="0"/>
          <w:sz w:val="24"/>
          <w:szCs w:val="24"/>
          <w:lang w:eastAsia="en-GB"/>
          <w14:ligatures w14:val="none"/>
        </w:rPr>
        <w:t xml:space="preserve"> including</w:t>
      </w:r>
      <w:r w:rsidRPr="00E97A39">
        <w:rPr>
          <w:rFonts w:ascii="Times New Roman" w:eastAsia="Times New Roman" w:hAnsi="Times New Roman" w:cs="Times New Roman"/>
          <w:kern w:val="0"/>
          <w:sz w:val="24"/>
          <w:szCs w:val="24"/>
          <w:lang w:eastAsia="en-GB"/>
          <w14:ligatures w14:val="none"/>
        </w:rPr>
        <w:t>.</w:t>
      </w:r>
    </w:p>
    <w:p w14:paraId="2D4AD509" w14:textId="507D6CA8" w:rsidR="00CE5239" w:rsidRPr="00E97A39" w:rsidRDefault="00CE5239" w:rsidP="00CE52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The value of the Company's business may be affected by matters including:</w:t>
      </w:r>
    </w:p>
    <w:p w14:paraId="2ADB87BF"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timber prices;</w:t>
      </w:r>
    </w:p>
    <w:p w14:paraId="42F37D2F"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forestry values;</w:t>
      </w:r>
    </w:p>
    <w:p w14:paraId="121642E7"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land values;</w:t>
      </w:r>
    </w:p>
    <w:p w14:paraId="7B114EB0"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environmental conditions;</w:t>
      </w:r>
    </w:p>
    <w:p w14:paraId="6204ADAC"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disease;</w:t>
      </w:r>
    </w:p>
    <w:p w14:paraId="68878383"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fire;</w:t>
      </w:r>
    </w:p>
    <w:p w14:paraId="31CD253D"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wind and storm damage;</w:t>
      </w:r>
    </w:p>
    <w:p w14:paraId="261A572D"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climate;</w:t>
      </w:r>
    </w:p>
    <w:p w14:paraId="5B8F0DCC"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government policy;</w:t>
      </w:r>
    </w:p>
    <w:p w14:paraId="1A112AA5"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regulation;</w:t>
      </w:r>
    </w:p>
    <w:p w14:paraId="1F9DC61F"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taxation;</w:t>
      </w:r>
    </w:p>
    <w:p w14:paraId="02C6665C"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grant availability;</w:t>
      </w:r>
    </w:p>
    <w:p w14:paraId="10519BC2"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planning;</w:t>
      </w:r>
    </w:p>
    <w:p w14:paraId="25D12E22"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operating costs;</w:t>
      </w:r>
    </w:p>
    <w:p w14:paraId="64E391DC"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management performance;</w:t>
      </w:r>
    </w:p>
    <w:p w14:paraId="095F9804"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access to finance; and</w:t>
      </w:r>
    </w:p>
    <w:p w14:paraId="335784EE" w14:textId="77777777" w:rsidR="00CE5239" w:rsidRPr="00E97A39" w:rsidRDefault="00CE5239" w:rsidP="00CE5239">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general economic conditions.</w:t>
      </w:r>
    </w:p>
    <w:p w14:paraId="3F937022" w14:textId="116E438C" w:rsidR="00CE5239" w:rsidRPr="00E97A39" w:rsidRDefault="00CE5239" w:rsidP="00CE5239">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E97A39">
        <w:rPr>
          <w:rFonts w:ascii="Times New Roman" w:eastAsia="Times New Roman" w:hAnsi="Times New Roman" w:cs="Times New Roman"/>
          <w:kern w:val="0"/>
          <w:sz w:val="24"/>
          <w:szCs w:val="24"/>
          <w:lang w:eastAsia="en-GB"/>
          <w14:ligatures w14:val="none"/>
        </w:rPr>
        <w:t>There is no guarantee that T4G will generate sufficient profits to make any Distribution.</w:t>
      </w:r>
    </w:p>
    <w:p w14:paraId="62F6BFD0" w14:textId="623E7542" w:rsidR="00073D0C" w:rsidRPr="00466AD2" w:rsidRDefault="00CE5239" w:rsidP="00CE5239">
      <w:r w:rsidRPr="00E97A39">
        <w:rPr>
          <w:rFonts w:ascii="Times New Roman" w:eastAsia="Times New Roman" w:hAnsi="Times New Roman" w:cs="Times New Roman"/>
          <w:kern w:val="0"/>
          <w:sz w:val="24"/>
          <w:szCs w:val="24"/>
          <w:lang w:eastAsia="en-GB"/>
          <w14:ligatures w14:val="none"/>
        </w:rPr>
        <w:t>A CRPS Holder may receive substantially less than the Maximum Distribution Amount</w:t>
      </w:r>
      <w:r w:rsidR="00D5331E">
        <w:t xml:space="preserve">  </w:t>
      </w:r>
    </w:p>
    <w:p w14:paraId="3580832E" w14:textId="77777777" w:rsidR="00147012" w:rsidRDefault="00147012" w:rsidP="00466AD2">
      <w:pPr>
        <w:rPr>
          <w:b/>
          <w:bCs/>
          <w:sz w:val="28"/>
          <w:szCs w:val="28"/>
        </w:rPr>
      </w:pPr>
    </w:p>
    <w:p w14:paraId="047D3CC8" w14:textId="0BA5E912" w:rsidR="002933F1" w:rsidRPr="00FE5D4B" w:rsidRDefault="002933F1" w:rsidP="00466AD2">
      <w:r w:rsidRPr="00685124">
        <w:rPr>
          <w:b/>
          <w:bCs/>
          <w:sz w:val="28"/>
          <w:szCs w:val="28"/>
        </w:rPr>
        <w:t>TAX ASPECTS</w:t>
      </w:r>
    </w:p>
    <w:p w14:paraId="53917369" w14:textId="1E48C1D0" w:rsidR="002933F1" w:rsidRDefault="002933F1" w:rsidP="002933F1">
      <w:r w:rsidRPr="00466AD2">
        <w:rPr>
          <w:bCs/>
          <w:sz w:val="24"/>
          <w:szCs w:val="24"/>
        </w:rPr>
        <w:t>T4G holds no professional tax qualifications and cannot advise upon taxation</w:t>
      </w:r>
      <w:r>
        <w:t>.</w:t>
      </w:r>
    </w:p>
    <w:p w14:paraId="074B34B7" w14:textId="348DAD8C" w:rsidR="00E671B4" w:rsidRDefault="002933F1" w:rsidP="002933F1">
      <w:pPr>
        <w:rPr>
          <w:sz w:val="24"/>
          <w:szCs w:val="24"/>
        </w:rPr>
      </w:pPr>
      <w:r w:rsidRPr="00FE5D4B">
        <w:rPr>
          <w:sz w:val="24"/>
          <w:szCs w:val="24"/>
        </w:rPr>
        <w:t xml:space="preserve">It is the responsibility of </w:t>
      </w:r>
      <w:r w:rsidR="003067FA" w:rsidRPr="00FE5D4B">
        <w:rPr>
          <w:sz w:val="24"/>
          <w:szCs w:val="24"/>
        </w:rPr>
        <w:t>the</w:t>
      </w:r>
      <w:r w:rsidRPr="00FE5D4B">
        <w:rPr>
          <w:sz w:val="24"/>
          <w:szCs w:val="24"/>
        </w:rPr>
        <w:t xml:space="preserve"> </w:t>
      </w:r>
      <w:r w:rsidR="00C663EA">
        <w:rPr>
          <w:sz w:val="24"/>
          <w:szCs w:val="24"/>
        </w:rPr>
        <w:t>CRPS</w:t>
      </w:r>
      <w:r w:rsidRPr="00FE5D4B">
        <w:rPr>
          <w:sz w:val="24"/>
          <w:szCs w:val="24"/>
        </w:rPr>
        <w:t xml:space="preserve"> subscriber to be satisfied with a </w:t>
      </w:r>
      <w:r w:rsidR="00C663EA">
        <w:rPr>
          <w:sz w:val="24"/>
          <w:szCs w:val="24"/>
        </w:rPr>
        <w:t>CRPS</w:t>
      </w:r>
      <w:r w:rsidRPr="00FE5D4B">
        <w:rPr>
          <w:sz w:val="24"/>
          <w:szCs w:val="24"/>
        </w:rPr>
        <w:t xml:space="preserve"> purchase being suitable, acceptable and within risk tolerances for the purpose of fulfilling objectives sought.  T4G supply references to websites which supply formal information and advice, T4G cannot be responsible for any errors or omissions contained therein, </w:t>
      </w:r>
      <w:r w:rsidR="003067FA" w:rsidRPr="00FE5D4B">
        <w:rPr>
          <w:sz w:val="24"/>
          <w:szCs w:val="24"/>
        </w:rPr>
        <w:t>e</w:t>
      </w:r>
      <w:r w:rsidRPr="00FE5D4B">
        <w:rPr>
          <w:sz w:val="24"/>
          <w:szCs w:val="24"/>
        </w:rPr>
        <w:t>.g. HMRC.</w:t>
      </w:r>
    </w:p>
    <w:p w14:paraId="34ADBB7E" w14:textId="77777777" w:rsidR="0038499E" w:rsidRPr="00FB371B" w:rsidRDefault="0038499E" w:rsidP="002933F1">
      <w:pPr>
        <w:rPr>
          <w:sz w:val="24"/>
          <w:szCs w:val="24"/>
        </w:rPr>
      </w:pPr>
    </w:p>
    <w:sectPr w:rsidR="0038499E" w:rsidRPr="00FB371B" w:rsidSect="00466AD2">
      <w:footerReference w:type="default" r:id="rId8"/>
      <w:pgSz w:w="11906" w:h="16838"/>
      <w:pgMar w:top="1440" w:right="1440" w:bottom="1440" w:left="1440" w:header="708" w:footer="708" w:gutter="0"/>
      <w:pgBorders w:offsetFrom="page">
        <w:top w:val="single" w:sz="24" w:space="24" w:color="00B050"/>
        <w:left w:val="single" w:sz="24" w:space="24" w:color="00B050"/>
        <w:bottom w:val="single" w:sz="24" w:space="24" w:color="00B050"/>
        <w:right w:val="single" w:sz="24" w:space="24" w:color="00B05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EAC07" w14:textId="77777777" w:rsidR="001D5422" w:rsidRDefault="001D5422" w:rsidP="00685124">
      <w:pPr>
        <w:spacing w:after="0" w:line="240" w:lineRule="auto"/>
      </w:pPr>
      <w:r>
        <w:separator/>
      </w:r>
    </w:p>
  </w:endnote>
  <w:endnote w:type="continuationSeparator" w:id="0">
    <w:p w14:paraId="6F0C017B" w14:textId="77777777" w:rsidR="001D5422" w:rsidRDefault="001D5422" w:rsidP="00685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919804"/>
      <w:docPartObj>
        <w:docPartGallery w:val="Page Numbers (Bottom of Page)"/>
        <w:docPartUnique/>
      </w:docPartObj>
    </w:sdtPr>
    <w:sdtEndPr>
      <w:rPr>
        <w:color w:val="7F7F7F" w:themeColor="background1" w:themeShade="7F"/>
        <w:spacing w:val="60"/>
      </w:rPr>
    </w:sdtEndPr>
    <w:sdtContent>
      <w:p w14:paraId="15D104EE" w14:textId="1AF36412" w:rsidR="00685124" w:rsidRDefault="0068512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E60D3AD" w14:textId="47EA8447" w:rsidR="00425DD5" w:rsidRDefault="00425D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7FD09" w14:textId="77777777" w:rsidR="001D5422" w:rsidRDefault="001D5422" w:rsidP="00685124">
      <w:pPr>
        <w:spacing w:after="0" w:line="240" w:lineRule="auto"/>
      </w:pPr>
      <w:r>
        <w:separator/>
      </w:r>
    </w:p>
  </w:footnote>
  <w:footnote w:type="continuationSeparator" w:id="0">
    <w:p w14:paraId="27D04AEF" w14:textId="77777777" w:rsidR="001D5422" w:rsidRDefault="001D5422" w:rsidP="006851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309C"/>
    <w:multiLevelType w:val="multilevel"/>
    <w:tmpl w:val="3702D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0748E4"/>
    <w:multiLevelType w:val="hybridMultilevel"/>
    <w:tmpl w:val="38CEC9D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C54710"/>
    <w:multiLevelType w:val="hybridMultilevel"/>
    <w:tmpl w:val="EADC993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8F79D0"/>
    <w:multiLevelType w:val="hybridMultilevel"/>
    <w:tmpl w:val="74462AD8"/>
    <w:lvl w:ilvl="0" w:tplc="08090015">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DF1E0E"/>
    <w:multiLevelType w:val="hybridMultilevel"/>
    <w:tmpl w:val="0F8E14A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1E0D6C"/>
    <w:multiLevelType w:val="hybridMultilevel"/>
    <w:tmpl w:val="665E830A"/>
    <w:lvl w:ilvl="0" w:tplc="B7C238E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191318"/>
    <w:multiLevelType w:val="hybridMultilevel"/>
    <w:tmpl w:val="843423BC"/>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B123A2C"/>
    <w:multiLevelType w:val="hybridMultilevel"/>
    <w:tmpl w:val="BA587B5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C540914"/>
    <w:multiLevelType w:val="hybridMultilevel"/>
    <w:tmpl w:val="D21AC258"/>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B944A8"/>
    <w:multiLevelType w:val="hybridMultilevel"/>
    <w:tmpl w:val="2C9CADF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9999743">
    <w:abstractNumId w:val="4"/>
  </w:num>
  <w:num w:numId="2" w16cid:durableId="1156334918">
    <w:abstractNumId w:val="7"/>
  </w:num>
  <w:num w:numId="3" w16cid:durableId="607666542">
    <w:abstractNumId w:val="2"/>
  </w:num>
  <w:num w:numId="4" w16cid:durableId="567689735">
    <w:abstractNumId w:val="5"/>
  </w:num>
  <w:num w:numId="5" w16cid:durableId="64111710">
    <w:abstractNumId w:val="8"/>
  </w:num>
  <w:num w:numId="6" w16cid:durableId="189227613">
    <w:abstractNumId w:val="1"/>
  </w:num>
  <w:num w:numId="7" w16cid:durableId="691340492">
    <w:abstractNumId w:val="6"/>
  </w:num>
  <w:num w:numId="8" w16cid:durableId="1550456413">
    <w:abstractNumId w:val="3"/>
  </w:num>
  <w:num w:numId="9" w16cid:durableId="1587494240">
    <w:abstractNumId w:val="9"/>
  </w:num>
  <w:num w:numId="10" w16cid:durableId="1547253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3F1"/>
    <w:rsid w:val="000432B1"/>
    <w:rsid w:val="0006219E"/>
    <w:rsid w:val="00073D0C"/>
    <w:rsid w:val="000C271B"/>
    <w:rsid w:val="0011489E"/>
    <w:rsid w:val="0012389D"/>
    <w:rsid w:val="00147012"/>
    <w:rsid w:val="001723EB"/>
    <w:rsid w:val="0019730F"/>
    <w:rsid w:val="001A07A5"/>
    <w:rsid w:val="001C0F9F"/>
    <w:rsid w:val="001D5422"/>
    <w:rsid w:val="001F554A"/>
    <w:rsid w:val="00203CB1"/>
    <w:rsid w:val="002055C5"/>
    <w:rsid w:val="002151BD"/>
    <w:rsid w:val="0023195C"/>
    <w:rsid w:val="002933F1"/>
    <w:rsid w:val="002A4A4E"/>
    <w:rsid w:val="002C46F4"/>
    <w:rsid w:val="003067FA"/>
    <w:rsid w:val="00344B8D"/>
    <w:rsid w:val="00351698"/>
    <w:rsid w:val="003758DB"/>
    <w:rsid w:val="0038499E"/>
    <w:rsid w:val="003F164E"/>
    <w:rsid w:val="003F6FB2"/>
    <w:rsid w:val="003F7870"/>
    <w:rsid w:val="00404966"/>
    <w:rsid w:val="00425DD5"/>
    <w:rsid w:val="00455C5F"/>
    <w:rsid w:val="00466AD2"/>
    <w:rsid w:val="00483B5E"/>
    <w:rsid w:val="004A5E7E"/>
    <w:rsid w:val="004A7148"/>
    <w:rsid w:val="00513ED8"/>
    <w:rsid w:val="00517741"/>
    <w:rsid w:val="00533BDD"/>
    <w:rsid w:val="00534922"/>
    <w:rsid w:val="00544B50"/>
    <w:rsid w:val="00572186"/>
    <w:rsid w:val="005840B0"/>
    <w:rsid w:val="00596295"/>
    <w:rsid w:val="00612EC6"/>
    <w:rsid w:val="0061359D"/>
    <w:rsid w:val="006328BF"/>
    <w:rsid w:val="00632F16"/>
    <w:rsid w:val="00633C50"/>
    <w:rsid w:val="00670A1F"/>
    <w:rsid w:val="006740BC"/>
    <w:rsid w:val="00685124"/>
    <w:rsid w:val="00692582"/>
    <w:rsid w:val="006C7B35"/>
    <w:rsid w:val="006F06BE"/>
    <w:rsid w:val="00740976"/>
    <w:rsid w:val="007906FA"/>
    <w:rsid w:val="007B07E6"/>
    <w:rsid w:val="007B79B0"/>
    <w:rsid w:val="007E79F2"/>
    <w:rsid w:val="00815244"/>
    <w:rsid w:val="008364FF"/>
    <w:rsid w:val="0083701F"/>
    <w:rsid w:val="008461A2"/>
    <w:rsid w:val="008537DA"/>
    <w:rsid w:val="008966AC"/>
    <w:rsid w:val="008B4B3B"/>
    <w:rsid w:val="008C0A52"/>
    <w:rsid w:val="008D4FB7"/>
    <w:rsid w:val="008E46B0"/>
    <w:rsid w:val="00910114"/>
    <w:rsid w:val="009D222C"/>
    <w:rsid w:val="00A60977"/>
    <w:rsid w:val="00A8249C"/>
    <w:rsid w:val="00A8509B"/>
    <w:rsid w:val="00A93470"/>
    <w:rsid w:val="00AA6AE6"/>
    <w:rsid w:val="00AE6E57"/>
    <w:rsid w:val="00B329D1"/>
    <w:rsid w:val="00B414FD"/>
    <w:rsid w:val="00B7245E"/>
    <w:rsid w:val="00B7637D"/>
    <w:rsid w:val="00B86DC9"/>
    <w:rsid w:val="00BB2E8F"/>
    <w:rsid w:val="00C27AD6"/>
    <w:rsid w:val="00C34033"/>
    <w:rsid w:val="00C638FB"/>
    <w:rsid w:val="00C663EA"/>
    <w:rsid w:val="00C8128A"/>
    <w:rsid w:val="00C924B3"/>
    <w:rsid w:val="00CB3087"/>
    <w:rsid w:val="00CD109F"/>
    <w:rsid w:val="00CE5239"/>
    <w:rsid w:val="00D3719E"/>
    <w:rsid w:val="00D5331E"/>
    <w:rsid w:val="00D60B5C"/>
    <w:rsid w:val="00D648CC"/>
    <w:rsid w:val="00D91476"/>
    <w:rsid w:val="00DA16EB"/>
    <w:rsid w:val="00DC55B9"/>
    <w:rsid w:val="00DD7979"/>
    <w:rsid w:val="00E07103"/>
    <w:rsid w:val="00E671B4"/>
    <w:rsid w:val="00E74A3C"/>
    <w:rsid w:val="00ED6881"/>
    <w:rsid w:val="00F010EF"/>
    <w:rsid w:val="00F22A98"/>
    <w:rsid w:val="00F47926"/>
    <w:rsid w:val="00F833A9"/>
    <w:rsid w:val="00FB371B"/>
    <w:rsid w:val="00FD2E12"/>
    <w:rsid w:val="00FE0162"/>
    <w:rsid w:val="00FE5D4B"/>
    <w:rsid w:val="00FF128C"/>
    <w:rsid w:val="00FF48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9663A"/>
  <w15:chartTrackingRefBased/>
  <w15:docId w15:val="{035391E9-CCB1-4F9F-B6C5-3AB48308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3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3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3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3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3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3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3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3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3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3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3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3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33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33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3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3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3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33F1"/>
    <w:rPr>
      <w:rFonts w:eastAsiaTheme="majorEastAsia" w:cstheme="majorBidi"/>
      <w:color w:val="272727" w:themeColor="text1" w:themeTint="D8"/>
    </w:rPr>
  </w:style>
  <w:style w:type="paragraph" w:styleId="Title">
    <w:name w:val="Title"/>
    <w:basedOn w:val="Normal"/>
    <w:next w:val="Normal"/>
    <w:link w:val="TitleChar"/>
    <w:uiPriority w:val="10"/>
    <w:qFormat/>
    <w:rsid w:val="00293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3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3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3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33F1"/>
    <w:pPr>
      <w:spacing w:before="160"/>
      <w:jc w:val="center"/>
    </w:pPr>
    <w:rPr>
      <w:i/>
      <w:iCs/>
      <w:color w:val="404040" w:themeColor="text1" w:themeTint="BF"/>
    </w:rPr>
  </w:style>
  <w:style w:type="character" w:customStyle="1" w:styleId="QuoteChar">
    <w:name w:val="Quote Char"/>
    <w:basedOn w:val="DefaultParagraphFont"/>
    <w:link w:val="Quote"/>
    <w:uiPriority w:val="29"/>
    <w:rsid w:val="002933F1"/>
    <w:rPr>
      <w:i/>
      <w:iCs/>
      <w:color w:val="404040" w:themeColor="text1" w:themeTint="BF"/>
    </w:rPr>
  </w:style>
  <w:style w:type="paragraph" w:styleId="ListParagraph">
    <w:name w:val="List Paragraph"/>
    <w:basedOn w:val="Normal"/>
    <w:uiPriority w:val="34"/>
    <w:qFormat/>
    <w:rsid w:val="002933F1"/>
    <w:pPr>
      <w:ind w:left="720"/>
      <w:contextualSpacing/>
    </w:pPr>
  </w:style>
  <w:style w:type="character" w:styleId="IntenseEmphasis">
    <w:name w:val="Intense Emphasis"/>
    <w:basedOn w:val="DefaultParagraphFont"/>
    <w:uiPriority w:val="21"/>
    <w:qFormat/>
    <w:rsid w:val="002933F1"/>
    <w:rPr>
      <w:i/>
      <w:iCs/>
      <w:color w:val="0F4761" w:themeColor="accent1" w:themeShade="BF"/>
    </w:rPr>
  </w:style>
  <w:style w:type="paragraph" w:styleId="IntenseQuote">
    <w:name w:val="Intense Quote"/>
    <w:basedOn w:val="Normal"/>
    <w:next w:val="Normal"/>
    <w:link w:val="IntenseQuoteChar"/>
    <w:uiPriority w:val="30"/>
    <w:qFormat/>
    <w:rsid w:val="00293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33F1"/>
    <w:rPr>
      <w:i/>
      <w:iCs/>
      <w:color w:val="0F4761" w:themeColor="accent1" w:themeShade="BF"/>
    </w:rPr>
  </w:style>
  <w:style w:type="character" w:styleId="IntenseReference">
    <w:name w:val="Intense Reference"/>
    <w:basedOn w:val="DefaultParagraphFont"/>
    <w:uiPriority w:val="32"/>
    <w:qFormat/>
    <w:rsid w:val="002933F1"/>
    <w:rPr>
      <w:b/>
      <w:bCs/>
      <w:smallCaps/>
      <w:color w:val="0F4761" w:themeColor="accent1" w:themeShade="BF"/>
      <w:spacing w:val="5"/>
    </w:rPr>
  </w:style>
  <w:style w:type="paragraph" w:styleId="NoSpacing">
    <w:name w:val="No Spacing"/>
    <w:link w:val="NoSpacingChar"/>
    <w:uiPriority w:val="1"/>
    <w:qFormat/>
    <w:rsid w:val="002933F1"/>
    <w:pPr>
      <w:spacing w:after="0" w:line="240" w:lineRule="auto"/>
    </w:pPr>
  </w:style>
  <w:style w:type="paragraph" w:styleId="Header">
    <w:name w:val="header"/>
    <w:basedOn w:val="Normal"/>
    <w:link w:val="HeaderChar"/>
    <w:uiPriority w:val="99"/>
    <w:unhideWhenUsed/>
    <w:rsid w:val="006851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124"/>
  </w:style>
  <w:style w:type="paragraph" w:styleId="Footer">
    <w:name w:val="footer"/>
    <w:basedOn w:val="Normal"/>
    <w:link w:val="FooterChar"/>
    <w:uiPriority w:val="99"/>
    <w:unhideWhenUsed/>
    <w:rsid w:val="006851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124"/>
  </w:style>
  <w:style w:type="character" w:customStyle="1" w:styleId="NoSpacingChar">
    <w:name w:val="No Spacing Char"/>
    <w:basedOn w:val="DefaultParagraphFont"/>
    <w:link w:val="NoSpacing"/>
    <w:uiPriority w:val="1"/>
    <w:rsid w:val="00466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367877">
      <w:bodyDiv w:val="1"/>
      <w:marLeft w:val="0"/>
      <w:marRight w:val="0"/>
      <w:marTop w:val="0"/>
      <w:marBottom w:val="0"/>
      <w:divBdr>
        <w:top w:val="none" w:sz="0" w:space="0" w:color="auto"/>
        <w:left w:val="none" w:sz="0" w:space="0" w:color="auto"/>
        <w:bottom w:val="none" w:sz="0" w:space="0" w:color="auto"/>
        <w:right w:val="none" w:sz="0" w:space="0" w:color="auto"/>
      </w:divBdr>
    </w:div>
    <w:div w:id="167368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518</Words>
  <Characters>2956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Risk Factors</vt:lpstr>
    </vt:vector>
  </TitlesOfParts>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Factors</dc:title>
  <dc:subject/>
  <dc:creator>Kevin Neale</dc:creator>
  <cp:keywords/>
  <dc:description/>
  <cp:lastModifiedBy>Kevin Neale</cp:lastModifiedBy>
  <cp:revision>3</cp:revision>
  <cp:lastPrinted>2026-09-15T09:43:00Z</cp:lastPrinted>
  <dcterms:created xsi:type="dcterms:W3CDTF">2026-09-15T09:47:00Z</dcterms:created>
  <dcterms:modified xsi:type="dcterms:W3CDTF">2026-09-15T12:10:00Z</dcterms:modified>
</cp:coreProperties>
</file>