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00024" cy="40538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024" cy="40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8"/>
        <w:rPr>
          <w:rFonts w:ascii="Times New Roman"/>
        </w:rPr>
      </w:pPr>
    </w:p>
    <w:p>
      <w:pPr>
        <w:pStyle w:val="Heading1"/>
        <w:spacing w:line="638" w:lineRule="auto" w:before="0"/>
        <w:ind w:left="5615" w:right="5802" w:firstLine="3"/>
        <w:jc w:val="center"/>
      </w:pPr>
      <w:r>
        <w:rPr>
          <w:spacing w:val="-4"/>
        </w:rPr>
        <w:t>TREES4GOOD</w:t>
      </w:r>
      <w:r>
        <w:rPr>
          <w:spacing w:val="-13"/>
        </w:rPr>
        <w:t> </w:t>
      </w:r>
      <w:r>
        <w:rPr>
          <w:spacing w:val="-4"/>
        </w:rPr>
        <w:t>LIMITED </w:t>
      </w:r>
      <w:r>
        <w:rPr>
          <w:spacing w:val="-8"/>
        </w:rPr>
        <w:t>VALUATION</w:t>
      </w:r>
      <w:r>
        <w:rPr>
          <w:spacing w:val="-9"/>
        </w:rPr>
        <w:t> </w:t>
      </w:r>
      <w:r>
        <w:rPr>
          <w:spacing w:val="-8"/>
        </w:rPr>
        <w:t>OF </w:t>
      </w:r>
      <w:r>
        <w:rPr>
          <w:spacing w:val="-8"/>
        </w:rPr>
        <w:t>PROJECT </w:t>
      </w:r>
      <w:r>
        <w:rPr/>
        <w:t>17 MARCH 2025</w: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120"/>
        <w:rPr>
          <w:rFonts w:ascii="Tahoma"/>
          <w:b/>
          <w:sz w:val="20"/>
        </w:rPr>
      </w:pPr>
      <w:r>
        <w:rPr>
          <w:rFonts w:ascii="Tahoma"/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6156960</wp:posOffset>
            </wp:positionH>
            <wp:positionV relativeFrom="paragraph">
              <wp:posOffset>245105</wp:posOffset>
            </wp:positionV>
            <wp:extent cx="960354" cy="346709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354" cy="346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6"/>
        <w:ind w:left="8973" w:right="0" w:firstLine="0"/>
        <w:jc w:val="left"/>
        <w:rPr>
          <w:rFonts w:ascii="Arial"/>
          <w:b/>
          <w:sz w:val="15"/>
        </w:rPr>
      </w:pPr>
      <w:r>
        <w:rPr>
          <w:rFonts w:ascii="Arial"/>
          <w:b/>
          <w:color w:val="1F497C"/>
          <w:sz w:val="15"/>
        </w:rPr>
        <w:t>Valuation</w:t>
      </w:r>
      <w:r>
        <w:rPr>
          <w:rFonts w:ascii="Arial"/>
          <w:b/>
          <w:color w:val="1F497C"/>
          <w:spacing w:val="-4"/>
          <w:sz w:val="15"/>
        </w:rPr>
        <w:t> </w:t>
      </w:r>
      <w:r>
        <w:rPr>
          <w:rFonts w:ascii="Arial"/>
          <w:b/>
          <w:color w:val="1F497C"/>
          <w:sz w:val="15"/>
        </w:rPr>
        <w:t>Consulting</w:t>
      </w:r>
      <w:r>
        <w:rPr>
          <w:rFonts w:ascii="Arial"/>
          <w:b/>
          <w:color w:val="1F497C"/>
          <w:spacing w:val="-6"/>
          <w:sz w:val="15"/>
        </w:rPr>
        <w:t> </w:t>
      </w:r>
      <w:r>
        <w:rPr>
          <w:rFonts w:ascii="Arial"/>
          <w:b/>
          <w:color w:val="1F497C"/>
          <w:sz w:val="15"/>
        </w:rPr>
        <w:t>is</w:t>
      </w:r>
      <w:r>
        <w:rPr>
          <w:rFonts w:ascii="Arial"/>
          <w:b/>
          <w:color w:val="1F497C"/>
          <w:spacing w:val="-6"/>
          <w:sz w:val="15"/>
        </w:rPr>
        <w:t> </w:t>
      </w:r>
      <w:r>
        <w:rPr>
          <w:rFonts w:ascii="Arial"/>
          <w:b/>
          <w:color w:val="1F497C"/>
          <w:sz w:val="15"/>
        </w:rPr>
        <w:t>RICS</w:t>
      </w:r>
      <w:r>
        <w:rPr>
          <w:rFonts w:ascii="Arial"/>
          <w:b/>
          <w:color w:val="1F497C"/>
          <w:spacing w:val="-4"/>
          <w:sz w:val="15"/>
        </w:rPr>
        <w:t> </w:t>
      </w:r>
      <w:r>
        <w:rPr>
          <w:rFonts w:ascii="Arial"/>
          <w:b/>
          <w:color w:val="1F497C"/>
          <w:spacing w:val="-2"/>
          <w:sz w:val="15"/>
        </w:rPr>
        <w:t>Regulated</w:t>
      </w:r>
    </w:p>
    <w:p>
      <w:pPr>
        <w:spacing w:after="0"/>
        <w:jc w:val="left"/>
        <w:rPr>
          <w:rFonts w:ascii="Arial"/>
          <w:b/>
          <w:sz w:val="15"/>
        </w:rPr>
        <w:sectPr>
          <w:type w:val="continuous"/>
          <w:pgSz w:w="15840" w:h="12240" w:orient="landscape"/>
          <w:pgMar w:top="1260" w:bottom="280" w:left="720" w:right="1080"/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63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headerReference w:type="default" r:id="rId7"/>
          <w:footerReference w:type="default" r:id="rId8"/>
          <w:pgSz w:w="15840" w:h="12240" w:orient="landscape"/>
          <w:pgMar w:header="1255" w:footer="1171" w:top="1880" w:bottom="1360" w:left="720" w:right="1080"/>
        </w:sectPr>
      </w:pPr>
    </w:p>
    <w:p>
      <w:pPr>
        <w:pStyle w:val="BodyText"/>
        <w:spacing w:line="246" w:lineRule="exact" w:before="106"/>
        <w:ind w:left="446"/>
      </w:pPr>
      <w:r>
        <w:rPr>
          <w:w w:val="90"/>
        </w:rPr>
        <w:t>The</w:t>
      </w:r>
      <w:r>
        <w:rPr>
          <w:spacing w:val="-1"/>
        </w:rPr>
        <w:t> </w:t>
      </w:r>
      <w:r>
        <w:rPr>
          <w:spacing w:val="-2"/>
        </w:rPr>
        <w:t>Directors</w:t>
      </w:r>
    </w:p>
    <w:p>
      <w:pPr>
        <w:pStyle w:val="BodyText"/>
        <w:spacing w:line="201" w:lineRule="auto" w:before="14"/>
        <w:ind w:left="446" w:right="2704"/>
      </w:pPr>
      <w:r>
        <w:rPr/>
        <w:t>Brent</w:t>
      </w:r>
      <w:r>
        <w:rPr>
          <w:spacing w:val="-18"/>
        </w:rPr>
        <w:t> </w:t>
      </w:r>
      <w:r>
        <w:rPr/>
        <w:t>Property</w:t>
      </w:r>
      <w:r>
        <w:rPr>
          <w:spacing w:val="-20"/>
        </w:rPr>
        <w:t> </w:t>
      </w:r>
      <w:r>
        <w:rPr/>
        <w:t>Management </w:t>
      </w:r>
      <w:r>
        <w:rPr>
          <w:spacing w:val="-2"/>
        </w:rPr>
        <w:t>Penhall</w:t>
      </w:r>
    </w:p>
    <w:p>
      <w:pPr>
        <w:pStyle w:val="BodyText"/>
        <w:spacing w:line="234" w:lineRule="exact"/>
        <w:ind w:left="446"/>
      </w:pPr>
      <w:r>
        <w:rPr>
          <w:spacing w:val="-2"/>
          <w:w w:val="85"/>
        </w:rPr>
        <w:t>TR18</w:t>
      </w:r>
      <w:r>
        <w:rPr>
          <w:spacing w:val="-13"/>
        </w:rPr>
        <w:t> </w:t>
      </w:r>
      <w:r>
        <w:rPr>
          <w:spacing w:val="-5"/>
        </w:rPr>
        <w:t>2AX</w:t>
      </w:r>
    </w:p>
    <w:p>
      <w:pPr>
        <w:pStyle w:val="BodyText"/>
        <w:spacing w:line="201" w:lineRule="auto" w:before="220"/>
        <w:ind w:left="446" w:right="4665"/>
      </w:pPr>
      <w:r>
        <w:rPr/>
        <w:t>Kevin Neale </w:t>
      </w:r>
      <w:r>
        <w:rPr>
          <w:spacing w:val="-2"/>
        </w:rPr>
        <w:t>Trees</w:t>
      </w:r>
      <w:r>
        <w:rPr>
          <w:spacing w:val="-20"/>
        </w:rPr>
        <w:t> </w:t>
      </w:r>
      <w:r>
        <w:rPr>
          <w:spacing w:val="-2"/>
        </w:rPr>
        <w:t>4</w:t>
      </w:r>
      <w:r>
        <w:rPr>
          <w:spacing w:val="-17"/>
        </w:rPr>
        <w:t> </w:t>
      </w:r>
      <w:r>
        <w:rPr>
          <w:spacing w:val="-2"/>
        </w:rPr>
        <w:t>Good</w:t>
      </w:r>
      <w:r>
        <w:rPr>
          <w:spacing w:val="-17"/>
        </w:rPr>
        <w:t> </w:t>
      </w:r>
      <w:r>
        <w:rPr>
          <w:spacing w:val="-2"/>
        </w:rPr>
        <w:t>Ltd </w:t>
      </w:r>
      <w:r>
        <w:rPr/>
        <w:t>6 The Courtyard Holding Street </w:t>
      </w:r>
      <w:r>
        <w:rPr>
          <w:spacing w:val="-2"/>
        </w:rPr>
        <w:t>Rainham</w:t>
      </w:r>
    </w:p>
    <w:p>
      <w:pPr>
        <w:pStyle w:val="BodyText"/>
        <w:spacing w:line="237" w:lineRule="exact"/>
        <w:ind w:left="446"/>
      </w:pPr>
      <w:r>
        <w:rPr>
          <w:spacing w:val="-4"/>
        </w:rPr>
        <w:t>ME8</w:t>
      </w:r>
      <w:r>
        <w:rPr>
          <w:spacing w:val="-15"/>
        </w:rPr>
        <w:t> </w:t>
      </w:r>
      <w:r>
        <w:rPr>
          <w:spacing w:val="-5"/>
        </w:rPr>
        <w:t>7HE</w:t>
      </w:r>
    </w:p>
    <w:p>
      <w:pPr>
        <w:pStyle w:val="BodyText"/>
        <w:spacing w:before="117"/>
      </w:pPr>
    </w:p>
    <w:p>
      <w:pPr>
        <w:pStyle w:val="BodyText"/>
        <w:spacing w:line="453" w:lineRule="auto" w:before="1"/>
        <w:ind w:left="345" w:right="4665"/>
      </w:pPr>
      <w:r>
        <w:rPr>
          <w:spacing w:val="-6"/>
        </w:rPr>
        <w:t>17</w:t>
      </w:r>
      <w:r>
        <w:rPr>
          <w:spacing w:val="-15"/>
        </w:rPr>
        <w:t> </w:t>
      </w:r>
      <w:r>
        <w:rPr>
          <w:spacing w:val="-6"/>
        </w:rPr>
        <w:t>March</w:t>
      </w:r>
      <w:r>
        <w:rPr>
          <w:spacing w:val="-14"/>
        </w:rPr>
        <w:t> </w:t>
      </w:r>
      <w:r>
        <w:rPr>
          <w:spacing w:val="-6"/>
        </w:rPr>
        <w:t>2025 </w:t>
      </w:r>
      <w:r>
        <w:rPr/>
        <w:t>Dear Sirs</w:t>
      </w:r>
    </w:p>
    <w:p>
      <w:pPr>
        <w:spacing w:line="214" w:lineRule="exact" w:before="0"/>
        <w:ind w:left="345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spacing w:val="-4"/>
          <w:sz w:val="22"/>
        </w:rPr>
        <w:t>Valuation</w:t>
      </w:r>
      <w:r>
        <w:rPr>
          <w:rFonts w:ascii="Tahoma"/>
          <w:b/>
          <w:spacing w:val="-7"/>
          <w:sz w:val="22"/>
        </w:rPr>
        <w:t> </w:t>
      </w:r>
      <w:r>
        <w:rPr>
          <w:rFonts w:ascii="Tahoma"/>
          <w:b/>
          <w:spacing w:val="-4"/>
          <w:sz w:val="22"/>
        </w:rPr>
        <w:t>of</w:t>
      </w:r>
      <w:r>
        <w:rPr>
          <w:rFonts w:ascii="Tahoma"/>
          <w:b/>
          <w:spacing w:val="-7"/>
          <w:sz w:val="22"/>
        </w:rPr>
        <w:t> </w:t>
      </w:r>
      <w:r>
        <w:rPr>
          <w:rFonts w:ascii="Tahoma"/>
          <w:b/>
          <w:spacing w:val="-4"/>
          <w:sz w:val="22"/>
        </w:rPr>
        <w:t>the</w:t>
      </w:r>
      <w:r>
        <w:rPr>
          <w:rFonts w:ascii="Tahoma"/>
          <w:b/>
          <w:spacing w:val="-9"/>
          <w:sz w:val="22"/>
        </w:rPr>
        <w:t> </w:t>
      </w:r>
      <w:r>
        <w:rPr>
          <w:rFonts w:ascii="Tahoma"/>
          <w:b/>
          <w:spacing w:val="-4"/>
          <w:sz w:val="22"/>
        </w:rPr>
        <w:t>business lines/Project</w:t>
      </w:r>
      <w:r>
        <w:rPr>
          <w:rFonts w:ascii="Tahoma"/>
          <w:b/>
          <w:spacing w:val="-7"/>
          <w:sz w:val="22"/>
        </w:rPr>
        <w:t> </w:t>
      </w:r>
      <w:r>
        <w:rPr>
          <w:rFonts w:ascii="Tahoma"/>
          <w:b/>
          <w:spacing w:val="-4"/>
          <w:sz w:val="22"/>
        </w:rPr>
        <w:t>of</w:t>
      </w:r>
      <w:r>
        <w:rPr>
          <w:rFonts w:ascii="Tahoma"/>
          <w:b/>
          <w:spacing w:val="-9"/>
          <w:sz w:val="22"/>
        </w:rPr>
        <w:t> </w:t>
      </w:r>
      <w:r>
        <w:rPr>
          <w:rFonts w:ascii="Tahoma"/>
          <w:b/>
          <w:spacing w:val="-4"/>
          <w:sz w:val="22"/>
        </w:rPr>
        <w:t>Trees4Good Limited</w:t>
      </w:r>
    </w:p>
    <w:p>
      <w:pPr>
        <w:pStyle w:val="BodyText"/>
        <w:spacing w:before="115"/>
        <w:rPr>
          <w:rFonts w:ascii="Tahoma"/>
          <w:b/>
        </w:rPr>
      </w:pPr>
      <w:r>
        <w:rPr/>
        <w:br w:type="column"/>
      </w:r>
      <w:r>
        <w:rPr>
          <w:rFonts w:ascii="Tahoma"/>
          <w:b/>
        </w:rPr>
      </w:r>
    </w:p>
    <w:p>
      <w:pPr>
        <w:spacing w:line="249" w:lineRule="auto" w:before="0"/>
        <w:ind w:left="345" w:right="2548" w:firstLine="0"/>
        <w:jc w:val="left"/>
        <w:rPr>
          <w:rFonts w:ascii="Tahoma"/>
          <w:b/>
          <w:sz w:val="22"/>
        </w:rPr>
      </w:pPr>
      <w:r>
        <w:rPr>
          <w:rFonts w:ascii="Tahoma"/>
          <w:b/>
          <w:color w:val="000001"/>
          <w:spacing w:val="-2"/>
          <w:sz w:val="22"/>
        </w:rPr>
        <w:t>Valuation</w:t>
      </w:r>
      <w:r>
        <w:rPr>
          <w:rFonts w:ascii="Tahoma"/>
          <w:b/>
          <w:color w:val="000001"/>
          <w:spacing w:val="-15"/>
          <w:sz w:val="22"/>
        </w:rPr>
        <w:t> </w:t>
      </w:r>
      <w:r>
        <w:rPr>
          <w:rFonts w:ascii="Tahoma"/>
          <w:b/>
          <w:color w:val="000001"/>
          <w:spacing w:val="-2"/>
          <w:sz w:val="22"/>
        </w:rPr>
        <w:t>Consulting </w:t>
      </w:r>
      <w:r>
        <w:rPr>
          <w:rFonts w:ascii="Tahoma"/>
          <w:b/>
          <w:color w:val="000001"/>
          <w:sz w:val="22"/>
        </w:rPr>
        <w:t>4th Floor</w:t>
      </w:r>
    </w:p>
    <w:p>
      <w:pPr>
        <w:spacing w:line="252" w:lineRule="auto" w:before="0"/>
        <w:ind w:left="345" w:right="2548" w:firstLine="0"/>
        <w:jc w:val="left"/>
        <w:rPr>
          <w:rFonts w:ascii="Tahoma"/>
          <w:b/>
          <w:sz w:val="22"/>
        </w:rPr>
      </w:pPr>
      <w:r>
        <w:rPr>
          <w:rFonts w:ascii="Tahoma"/>
          <w:b/>
          <w:color w:val="000001"/>
          <w:spacing w:val="-4"/>
          <w:sz w:val="22"/>
        </w:rPr>
        <w:t>222</w:t>
      </w:r>
      <w:r>
        <w:rPr>
          <w:rFonts w:ascii="Tahoma"/>
          <w:b/>
          <w:color w:val="000001"/>
          <w:spacing w:val="-13"/>
          <w:sz w:val="22"/>
        </w:rPr>
        <w:t> </w:t>
      </w:r>
      <w:r>
        <w:rPr>
          <w:rFonts w:ascii="Tahoma"/>
          <w:b/>
          <w:color w:val="000001"/>
          <w:spacing w:val="-4"/>
          <w:sz w:val="22"/>
        </w:rPr>
        <w:t>Grays</w:t>
      </w:r>
      <w:r>
        <w:rPr>
          <w:rFonts w:ascii="Tahoma"/>
          <w:b/>
          <w:color w:val="000001"/>
          <w:spacing w:val="-12"/>
          <w:sz w:val="22"/>
        </w:rPr>
        <w:t> </w:t>
      </w:r>
      <w:r>
        <w:rPr>
          <w:rFonts w:ascii="Tahoma"/>
          <w:b/>
          <w:color w:val="000001"/>
          <w:spacing w:val="-4"/>
          <w:sz w:val="22"/>
        </w:rPr>
        <w:t>Inn</w:t>
      </w:r>
      <w:r>
        <w:rPr>
          <w:rFonts w:ascii="Tahoma"/>
          <w:b/>
          <w:color w:val="000001"/>
          <w:spacing w:val="-12"/>
          <w:sz w:val="22"/>
        </w:rPr>
        <w:t> </w:t>
      </w:r>
      <w:r>
        <w:rPr>
          <w:rFonts w:ascii="Tahoma"/>
          <w:b/>
          <w:color w:val="000001"/>
          <w:spacing w:val="-4"/>
          <w:sz w:val="22"/>
        </w:rPr>
        <w:t>Road</w:t>
      </w:r>
      <w:r>
        <w:rPr>
          <w:rFonts w:ascii="Tahoma"/>
          <w:b/>
          <w:color w:val="000001"/>
          <w:spacing w:val="-4"/>
          <w:sz w:val="22"/>
        </w:rPr>
        <w:t> </w:t>
      </w:r>
      <w:r>
        <w:rPr>
          <w:rFonts w:ascii="Tahoma"/>
          <w:b/>
          <w:color w:val="000001"/>
          <w:spacing w:val="-2"/>
          <w:sz w:val="22"/>
        </w:rPr>
        <w:t>London</w:t>
      </w:r>
    </w:p>
    <w:p>
      <w:pPr>
        <w:spacing w:line="262" w:lineRule="exact" w:before="0"/>
        <w:ind w:left="345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color w:val="000001"/>
          <w:sz w:val="22"/>
        </w:rPr>
        <w:t>WC1X</w:t>
      </w:r>
      <w:r>
        <w:rPr>
          <w:rFonts w:ascii="Tahoma"/>
          <w:b/>
          <w:color w:val="000001"/>
          <w:spacing w:val="-9"/>
          <w:sz w:val="22"/>
        </w:rPr>
        <w:t> </w:t>
      </w:r>
      <w:r>
        <w:rPr>
          <w:rFonts w:ascii="Tahoma"/>
          <w:b/>
          <w:color w:val="000001"/>
          <w:spacing w:val="-5"/>
          <w:sz w:val="22"/>
        </w:rPr>
        <w:t>8HB</w:t>
      </w:r>
    </w:p>
    <w:p>
      <w:pPr>
        <w:pStyle w:val="BodyText"/>
        <w:spacing w:before="37"/>
        <w:rPr>
          <w:rFonts w:ascii="Tahoma"/>
          <w:b/>
        </w:rPr>
      </w:pPr>
    </w:p>
    <w:p>
      <w:pPr>
        <w:spacing w:line="246" w:lineRule="exact" w:before="0"/>
        <w:ind w:left="345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w w:val="90"/>
          <w:sz w:val="22"/>
        </w:rPr>
        <w:t>Tel:</w:t>
      </w:r>
      <w:r>
        <w:rPr>
          <w:rFonts w:ascii="Tahoma"/>
          <w:b/>
          <w:spacing w:val="39"/>
          <w:sz w:val="22"/>
        </w:rPr>
        <w:t> </w:t>
      </w:r>
      <w:r>
        <w:rPr>
          <w:rFonts w:ascii="Tahoma"/>
          <w:b/>
          <w:w w:val="90"/>
          <w:sz w:val="22"/>
        </w:rPr>
        <w:t>+44</w:t>
      </w:r>
      <w:r>
        <w:rPr>
          <w:rFonts w:ascii="Tahoma"/>
          <w:b/>
          <w:spacing w:val="-6"/>
          <w:w w:val="90"/>
          <w:sz w:val="22"/>
        </w:rPr>
        <w:t> </w:t>
      </w:r>
      <w:r>
        <w:rPr>
          <w:rFonts w:ascii="Tahoma"/>
          <w:b/>
          <w:w w:val="90"/>
          <w:sz w:val="22"/>
        </w:rPr>
        <w:t>(0)</w:t>
      </w:r>
      <w:r>
        <w:rPr>
          <w:rFonts w:ascii="Tahoma"/>
          <w:b/>
          <w:spacing w:val="-6"/>
          <w:w w:val="90"/>
          <w:sz w:val="22"/>
        </w:rPr>
        <w:t> </w:t>
      </w:r>
      <w:r>
        <w:rPr>
          <w:rFonts w:ascii="Tahoma"/>
          <w:b/>
          <w:w w:val="90"/>
          <w:sz w:val="22"/>
        </w:rPr>
        <w:t>20</w:t>
      </w:r>
      <w:r>
        <w:rPr>
          <w:rFonts w:ascii="Tahoma"/>
          <w:b/>
          <w:spacing w:val="-6"/>
          <w:w w:val="90"/>
          <w:sz w:val="22"/>
        </w:rPr>
        <w:t> </w:t>
      </w:r>
      <w:r>
        <w:rPr>
          <w:rFonts w:ascii="Tahoma"/>
          <w:b/>
          <w:spacing w:val="-2"/>
          <w:w w:val="90"/>
          <w:sz w:val="22"/>
        </w:rPr>
        <w:t>3928000</w:t>
      </w:r>
    </w:p>
    <w:p>
      <w:pPr>
        <w:pStyle w:val="Heading2"/>
        <w:spacing w:line="204" w:lineRule="auto" w:before="13"/>
      </w:pPr>
      <w:r>
        <w:rPr>
          <w:spacing w:val="-2"/>
        </w:rPr>
        <w:t>Email: </w:t>
      </w:r>
      <w:hyperlink r:id="rId9">
        <w:r>
          <w:rPr>
            <w:spacing w:val="-2"/>
          </w:rPr>
          <w:t>ben.macnaghten@valuationconsulting.com</w:t>
        </w:r>
      </w:hyperlink>
    </w:p>
    <w:p>
      <w:pPr>
        <w:pStyle w:val="Heading2"/>
        <w:spacing w:after="0" w:line="204" w:lineRule="auto"/>
        <w:sectPr>
          <w:type w:val="continuous"/>
          <w:pgSz w:w="15840" w:h="12240" w:orient="landscape"/>
          <w:pgMar w:header="1255" w:footer="1171" w:top="1260" w:bottom="280" w:left="720" w:right="1080"/>
          <w:cols w:num="2" w:equalWidth="0">
            <w:col w:w="6997" w:space="1551"/>
            <w:col w:w="5492"/>
          </w:cols>
        </w:sectPr>
      </w:pPr>
    </w:p>
    <w:p>
      <w:pPr>
        <w:pStyle w:val="BodyText"/>
        <w:spacing w:line="201" w:lineRule="auto" w:before="220"/>
        <w:ind w:left="345"/>
      </w:pPr>
      <w:r>
        <w:rPr/>
        <w:t>Our</w:t>
      </w:r>
      <w:r>
        <w:rPr>
          <w:spacing w:val="-20"/>
        </w:rPr>
        <w:t> </w:t>
      </w:r>
      <w:r>
        <w:rPr/>
        <w:t>report</w:t>
      </w:r>
      <w:r>
        <w:rPr>
          <w:spacing w:val="-19"/>
        </w:rPr>
        <w:t> </w:t>
      </w:r>
      <w:r>
        <w:rPr/>
        <w:t>is</w:t>
      </w:r>
      <w:r>
        <w:rPr>
          <w:spacing w:val="-19"/>
        </w:rPr>
        <w:t> </w:t>
      </w:r>
      <w:r>
        <w:rPr/>
        <w:t>set</w:t>
      </w:r>
      <w:r>
        <w:rPr>
          <w:spacing w:val="-20"/>
        </w:rPr>
        <w:t> </w:t>
      </w:r>
      <w:r>
        <w:rPr/>
        <w:t>out</w:t>
      </w:r>
      <w:r>
        <w:rPr>
          <w:spacing w:val="-19"/>
        </w:rPr>
        <w:t> </w:t>
      </w:r>
      <w:r>
        <w:rPr/>
        <w:t>below.</w:t>
      </w:r>
      <w:r>
        <w:rPr>
          <w:spacing w:val="8"/>
        </w:rPr>
        <w:t> </w:t>
      </w:r>
      <w:r>
        <w:rPr/>
        <w:t>If</w:t>
      </w:r>
      <w:r>
        <w:rPr>
          <w:spacing w:val="-19"/>
        </w:rPr>
        <w:t> </w:t>
      </w:r>
      <w:r>
        <w:rPr/>
        <w:t>you</w:t>
      </w:r>
      <w:r>
        <w:rPr>
          <w:spacing w:val="-20"/>
        </w:rPr>
        <w:t> </w:t>
      </w:r>
      <w:r>
        <w:rPr/>
        <w:t>require</w:t>
      </w:r>
      <w:r>
        <w:rPr>
          <w:spacing w:val="-19"/>
        </w:rPr>
        <w:t> </w:t>
      </w:r>
      <w:r>
        <w:rPr/>
        <w:t>any</w:t>
      </w:r>
      <w:r>
        <w:rPr>
          <w:spacing w:val="-19"/>
        </w:rPr>
        <w:t> </w:t>
      </w:r>
      <w:r>
        <w:rPr/>
        <w:t>further</w:t>
      </w:r>
      <w:r>
        <w:rPr>
          <w:spacing w:val="-20"/>
        </w:rPr>
        <w:t> </w:t>
      </w:r>
      <w:r>
        <w:rPr/>
        <w:t>information</w:t>
      </w:r>
      <w:r>
        <w:rPr>
          <w:spacing w:val="-19"/>
        </w:rPr>
        <w:t> </w:t>
      </w:r>
      <w:r>
        <w:rPr/>
        <w:t>or</w:t>
      </w:r>
      <w:r>
        <w:rPr>
          <w:spacing w:val="-19"/>
        </w:rPr>
        <w:t> </w:t>
      </w:r>
      <w:r>
        <w:rPr/>
        <w:t>clarification,</w:t>
      </w:r>
      <w:r>
        <w:rPr>
          <w:spacing w:val="-20"/>
        </w:rPr>
        <w:t> </w:t>
      </w:r>
      <w:r>
        <w:rPr/>
        <w:t>please</w:t>
      </w:r>
      <w:r>
        <w:rPr>
          <w:spacing w:val="-17"/>
        </w:rPr>
        <w:t> </w:t>
      </w:r>
      <w:r>
        <w:rPr/>
        <w:t>do</w:t>
      </w:r>
      <w:r>
        <w:rPr>
          <w:spacing w:val="-20"/>
        </w:rPr>
        <w:t> </w:t>
      </w:r>
      <w:r>
        <w:rPr/>
        <w:t>not</w:t>
      </w:r>
      <w:r>
        <w:rPr>
          <w:spacing w:val="-17"/>
        </w:rPr>
        <w:t> </w:t>
      </w:r>
      <w:r>
        <w:rPr/>
        <w:t>hesitate</w:t>
      </w:r>
      <w:r>
        <w:rPr>
          <w:spacing w:val="-20"/>
        </w:rPr>
        <w:t> </w:t>
      </w:r>
      <w:r>
        <w:rPr/>
        <w:t>to</w:t>
      </w:r>
      <w:r>
        <w:rPr>
          <w:spacing w:val="-19"/>
        </w:rPr>
        <w:t> </w:t>
      </w:r>
      <w:r>
        <w:rPr/>
        <w:t>contact</w:t>
      </w:r>
      <w:r>
        <w:rPr>
          <w:spacing w:val="-19"/>
        </w:rPr>
        <w:t> </w:t>
      </w:r>
      <w:r>
        <w:rPr/>
        <w:t>Ben Macnaghten ACA MRICS.</w:t>
      </w:r>
    </w:p>
    <w:p>
      <w:pPr>
        <w:pStyle w:val="BodyText"/>
        <w:spacing w:before="192"/>
        <w:ind w:left="345"/>
      </w:pPr>
      <w:r>
        <w:rPr>
          <w:w w:val="90"/>
        </w:rPr>
        <w:t>Yours</w:t>
      </w:r>
      <w:r>
        <w:rPr>
          <w:spacing w:val="-2"/>
        </w:rPr>
        <w:t> faithfully</w:t>
      </w:r>
    </w:p>
    <w:p>
      <w:pPr>
        <w:pStyle w:val="BodyText"/>
        <w:spacing w:before="3"/>
        <w:rPr>
          <w:sz w:val="3"/>
        </w:rPr>
      </w:pPr>
      <w:r>
        <w:rPr>
          <w:sz w:val="3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678179</wp:posOffset>
            </wp:positionH>
            <wp:positionV relativeFrom="paragraph">
              <wp:posOffset>40879</wp:posOffset>
            </wp:positionV>
            <wp:extent cx="2469429" cy="442722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9429" cy="442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1"/>
      </w:pPr>
    </w:p>
    <w:p>
      <w:pPr>
        <w:pStyle w:val="Heading2"/>
        <w:spacing w:line="204" w:lineRule="auto"/>
        <w:ind w:right="9490"/>
      </w:pPr>
      <w:r>
        <w:rPr/>
        <w:t>Ben Macnaghten ACA </w:t>
      </w:r>
      <w:r>
        <w:rPr/>
        <w:t>MRICS Valuation Director</w:t>
      </w:r>
    </w:p>
    <w:p>
      <w:pPr>
        <w:spacing w:line="232" w:lineRule="exact" w:before="0"/>
        <w:ind w:left="345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sz w:val="22"/>
        </w:rPr>
        <w:t>For</w:t>
      </w:r>
      <w:r>
        <w:rPr>
          <w:rFonts w:ascii="Tahoma"/>
          <w:b/>
          <w:spacing w:val="-10"/>
          <w:sz w:val="22"/>
        </w:rPr>
        <w:t> </w:t>
      </w:r>
      <w:r>
        <w:rPr>
          <w:rFonts w:ascii="Tahoma"/>
          <w:b/>
          <w:sz w:val="22"/>
        </w:rPr>
        <w:t>and</w:t>
      </w:r>
      <w:r>
        <w:rPr>
          <w:rFonts w:ascii="Tahoma"/>
          <w:b/>
          <w:spacing w:val="-10"/>
          <w:sz w:val="22"/>
        </w:rPr>
        <w:t> </w:t>
      </w:r>
      <w:r>
        <w:rPr>
          <w:rFonts w:ascii="Tahoma"/>
          <w:b/>
          <w:sz w:val="22"/>
        </w:rPr>
        <w:t>on</w:t>
      </w:r>
      <w:r>
        <w:rPr>
          <w:rFonts w:ascii="Tahoma"/>
          <w:b/>
          <w:spacing w:val="-8"/>
          <w:sz w:val="22"/>
        </w:rPr>
        <w:t> </w:t>
      </w:r>
      <w:r>
        <w:rPr>
          <w:rFonts w:ascii="Tahoma"/>
          <w:b/>
          <w:sz w:val="22"/>
        </w:rPr>
        <w:t>behalf</w:t>
      </w:r>
      <w:r>
        <w:rPr>
          <w:rFonts w:ascii="Tahoma"/>
          <w:b/>
          <w:spacing w:val="-8"/>
          <w:sz w:val="22"/>
        </w:rPr>
        <w:t> </w:t>
      </w:r>
      <w:r>
        <w:rPr>
          <w:rFonts w:ascii="Tahoma"/>
          <w:b/>
          <w:sz w:val="22"/>
        </w:rPr>
        <w:t>of</w:t>
      </w:r>
      <w:r>
        <w:rPr>
          <w:rFonts w:ascii="Tahoma"/>
          <w:b/>
          <w:spacing w:val="-8"/>
          <w:sz w:val="22"/>
        </w:rPr>
        <w:t> </w:t>
      </w:r>
      <w:r>
        <w:rPr>
          <w:rFonts w:ascii="Tahoma"/>
          <w:b/>
          <w:sz w:val="22"/>
        </w:rPr>
        <w:t>Valuation</w:t>
      </w:r>
      <w:r>
        <w:rPr>
          <w:rFonts w:ascii="Tahoma"/>
          <w:b/>
          <w:spacing w:val="-8"/>
          <w:sz w:val="22"/>
        </w:rPr>
        <w:t> </w:t>
      </w:r>
      <w:r>
        <w:rPr>
          <w:rFonts w:ascii="Tahoma"/>
          <w:b/>
          <w:spacing w:val="-2"/>
          <w:sz w:val="22"/>
        </w:rPr>
        <w:t>Consulting</w:t>
      </w:r>
    </w:p>
    <w:p>
      <w:pPr>
        <w:pStyle w:val="BodyText"/>
        <w:spacing w:before="2"/>
        <w:rPr>
          <w:rFonts w:ascii="Tahoma"/>
          <w:b/>
          <w:sz w:val="12"/>
        </w:rPr>
      </w:pPr>
      <w:r>
        <w:rPr>
          <w:rFonts w:ascii="Tahoma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658368</wp:posOffset>
                </wp:positionH>
                <wp:positionV relativeFrom="paragraph">
                  <wp:posOffset>108645</wp:posOffset>
                </wp:positionV>
                <wp:extent cx="8620125" cy="508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862012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20125" h="5080">
                              <a:moveTo>
                                <a:pt x="8619744" y="4571"/>
                              </a:moveTo>
                              <a:lnTo>
                                <a:pt x="0" y="4571"/>
                              </a:lnTo>
                              <a:lnTo>
                                <a:pt x="0" y="0"/>
                              </a:lnTo>
                              <a:lnTo>
                                <a:pt x="8619744" y="0"/>
                              </a:lnTo>
                              <a:lnTo>
                                <a:pt x="8619744" y="4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.840004pt;margin-top:8.554787pt;width:678.720011pt;height:.359985pt;mso-position-horizontal-relative:page;mso-position-vertical-relative:paragraph;z-index:-15727616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61" w:lineRule="auto" w:before="28"/>
        <w:ind w:left="5611" w:right="159" w:hanging="1536"/>
        <w:jc w:val="right"/>
        <w:rPr>
          <w:sz w:val="17"/>
        </w:rPr>
      </w:pPr>
      <w:r>
        <w:rPr>
          <w:spacing w:val="-4"/>
          <w:sz w:val="17"/>
        </w:rPr>
        <w:t>Valuation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Consulting</w:t>
      </w:r>
      <w:r>
        <w:rPr>
          <w:spacing w:val="-11"/>
          <w:sz w:val="17"/>
        </w:rPr>
        <w:t> </w:t>
      </w:r>
      <w:r>
        <w:rPr>
          <w:spacing w:val="-4"/>
          <w:sz w:val="17"/>
        </w:rPr>
        <w:t>is</w:t>
      </w:r>
      <w:r>
        <w:rPr>
          <w:spacing w:val="-13"/>
          <w:sz w:val="17"/>
        </w:rPr>
        <w:t> </w:t>
      </w:r>
      <w:r>
        <w:rPr>
          <w:spacing w:val="-4"/>
          <w:sz w:val="17"/>
        </w:rPr>
        <w:t>the</w:t>
      </w:r>
      <w:r>
        <w:rPr>
          <w:spacing w:val="-14"/>
          <w:sz w:val="17"/>
        </w:rPr>
        <w:t> </w:t>
      </w:r>
      <w:r>
        <w:rPr>
          <w:spacing w:val="-4"/>
          <w:sz w:val="17"/>
        </w:rPr>
        <w:t>trading</w:t>
      </w:r>
      <w:r>
        <w:rPr>
          <w:spacing w:val="-9"/>
          <w:sz w:val="17"/>
        </w:rPr>
        <w:t> </w:t>
      </w:r>
      <w:r>
        <w:rPr>
          <w:spacing w:val="-4"/>
          <w:sz w:val="17"/>
        </w:rPr>
        <w:t>name</w:t>
      </w:r>
      <w:r>
        <w:rPr>
          <w:spacing w:val="-13"/>
          <w:sz w:val="17"/>
        </w:rPr>
        <w:t> </w:t>
      </w:r>
      <w:r>
        <w:rPr>
          <w:spacing w:val="-4"/>
          <w:sz w:val="17"/>
        </w:rPr>
        <w:t>of</w:t>
      </w:r>
      <w:r>
        <w:rPr>
          <w:spacing w:val="-14"/>
          <w:sz w:val="17"/>
        </w:rPr>
        <w:t> </w:t>
      </w:r>
      <w:r>
        <w:rPr>
          <w:spacing w:val="-4"/>
          <w:sz w:val="17"/>
        </w:rPr>
        <w:t>Valuation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Consultants</w:t>
      </w:r>
      <w:r>
        <w:rPr>
          <w:spacing w:val="-11"/>
          <w:sz w:val="17"/>
        </w:rPr>
        <w:t> </w:t>
      </w:r>
      <w:r>
        <w:rPr>
          <w:spacing w:val="-4"/>
          <w:sz w:val="17"/>
        </w:rPr>
        <w:t>Limited</w:t>
      </w:r>
      <w:r>
        <w:rPr>
          <w:spacing w:val="-11"/>
          <w:sz w:val="17"/>
        </w:rPr>
        <w:t> </w:t>
      </w:r>
      <w:r>
        <w:rPr>
          <w:spacing w:val="-4"/>
          <w:sz w:val="17"/>
        </w:rPr>
        <w:t>registered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in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England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and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Wales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No</w:t>
      </w:r>
      <w:r>
        <w:rPr>
          <w:spacing w:val="-13"/>
          <w:sz w:val="17"/>
        </w:rPr>
        <w:t> </w:t>
      </w:r>
      <w:r>
        <w:rPr>
          <w:spacing w:val="-4"/>
          <w:sz w:val="17"/>
        </w:rPr>
        <w:t>11542020 Registered</w:t>
      </w:r>
      <w:r>
        <w:rPr>
          <w:spacing w:val="-14"/>
          <w:sz w:val="17"/>
        </w:rPr>
        <w:t> </w:t>
      </w:r>
      <w:r>
        <w:rPr>
          <w:spacing w:val="-4"/>
          <w:sz w:val="17"/>
        </w:rPr>
        <w:t>Office:</w:t>
      </w:r>
      <w:r>
        <w:rPr>
          <w:spacing w:val="-14"/>
          <w:sz w:val="17"/>
        </w:rPr>
        <w:t> </w:t>
      </w:r>
      <w:r>
        <w:rPr>
          <w:spacing w:val="-4"/>
          <w:sz w:val="17"/>
        </w:rPr>
        <w:t>2nd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Floor</w:t>
      </w:r>
      <w:r>
        <w:rPr>
          <w:spacing w:val="-15"/>
          <w:sz w:val="17"/>
        </w:rPr>
        <w:t> </w:t>
      </w:r>
      <w:r>
        <w:rPr>
          <w:spacing w:val="-4"/>
          <w:sz w:val="17"/>
        </w:rPr>
        <w:t>Building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1000</w:t>
      </w:r>
      <w:r>
        <w:rPr>
          <w:spacing w:val="-11"/>
          <w:sz w:val="17"/>
        </w:rPr>
        <w:t> </w:t>
      </w:r>
      <w:r>
        <w:rPr>
          <w:spacing w:val="-4"/>
          <w:sz w:val="17"/>
        </w:rPr>
        <w:t>Beach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Drive,</w:t>
      </w:r>
      <w:r>
        <w:rPr>
          <w:spacing w:val="-10"/>
          <w:sz w:val="17"/>
        </w:rPr>
        <w:t> </w:t>
      </w:r>
      <w:r>
        <w:rPr>
          <w:spacing w:val="-4"/>
          <w:sz w:val="17"/>
        </w:rPr>
        <w:t>Waterbeach,</w:t>
      </w:r>
      <w:r>
        <w:rPr>
          <w:spacing w:val="-11"/>
          <w:sz w:val="17"/>
        </w:rPr>
        <w:t> </w:t>
      </w:r>
      <w:r>
        <w:rPr>
          <w:spacing w:val="-4"/>
          <w:sz w:val="17"/>
        </w:rPr>
        <w:t>Cambridge,</w:t>
      </w:r>
      <w:r>
        <w:rPr>
          <w:spacing w:val="-11"/>
          <w:sz w:val="17"/>
        </w:rPr>
        <w:t> </w:t>
      </w:r>
      <w:r>
        <w:rPr>
          <w:spacing w:val="-4"/>
          <w:sz w:val="17"/>
        </w:rPr>
        <w:t>England,</w:t>
      </w:r>
      <w:r>
        <w:rPr>
          <w:spacing w:val="-12"/>
          <w:sz w:val="17"/>
        </w:rPr>
        <w:t> </w:t>
      </w:r>
      <w:r>
        <w:rPr>
          <w:spacing w:val="-4"/>
          <w:sz w:val="17"/>
        </w:rPr>
        <w:t>CB25</w:t>
      </w:r>
      <w:r>
        <w:rPr>
          <w:spacing w:val="-10"/>
          <w:sz w:val="17"/>
        </w:rPr>
        <w:t> </w:t>
      </w:r>
      <w:r>
        <w:rPr>
          <w:spacing w:val="-5"/>
          <w:sz w:val="17"/>
        </w:rPr>
        <w:t>9PD</w:t>
      </w:r>
    </w:p>
    <w:p>
      <w:pPr>
        <w:tabs>
          <w:tab w:pos="12350" w:val="left" w:leader="none"/>
        </w:tabs>
        <w:spacing w:line="210" w:lineRule="exact" w:before="0"/>
        <w:ind w:left="0" w:right="200" w:firstLine="0"/>
        <w:jc w:val="right"/>
        <w:rPr>
          <w:sz w:val="18"/>
        </w:rPr>
      </w:pPr>
      <w:r>
        <w:rPr>
          <w:w w:val="90"/>
          <w:sz w:val="18"/>
        </w:rPr>
        <w:t>25022</w:t>
      </w:r>
      <w:r>
        <w:rPr>
          <w:spacing w:val="-10"/>
          <w:w w:val="90"/>
          <w:sz w:val="18"/>
        </w:rPr>
        <w:t> </w:t>
      </w:r>
      <w:r>
        <w:rPr>
          <w:w w:val="90"/>
          <w:sz w:val="18"/>
        </w:rPr>
        <w:t>–</w:t>
      </w:r>
      <w:r>
        <w:rPr>
          <w:spacing w:val="32"/>
          <w:sz w:val="18"/>
        </w:rPr>
        <w:t> </w:t>
      </w:r>
      <w:r>
        <w:rPr>
          <w:spacing w:val="-2"/>
          <w:w w:val="90"/>
          <w:sz w:val="18"/>
        </w:rPr>
        <w:t>Trees4Good</w:t>
      </w:r>
      <w:r>
        <w:rPr>
          <w:sz w:val="18"/>
        </w:rPr>
        <w:tab/>
        <w:t>Page</w:t>
      </w:r>
      <w:r>
        <w:rPr>
          <w:spacing w:val="-1"/>
          <w:sz w:val="18"/>
        </w:rPr>
        <w:t> </w:t>
      </w:r>
      <w:r>
        <w:rPr>
          <w:sz w:val="18"/>
        </w:rPr>
        <w:t>2</w:t>
      </w:r>
      <w:r>
        <w:rPr>
          <w:spacing w:val="8"/>
          <w:sz w:val="18"/>
        </w:rPr>
        <w:t> </w:t>
      </w:r>
      <w:r>
        <w:rPr>
          <w:sz w:val="18"/>
        </w:rPr>
        <w:t>of</w:t>
      </w:r>
      <w:r>
        <w:rPr>
          <w:spacing w:val="4"/>
          <w:sz w:val="18"/>
        </w:rPr>
        <w:t> </w:t>
      </w:r>
      <w:r>
        <w:rPr>
          <w:spacing w:val="-5"/>
          <w:sz w:val="18"/>
        </w:rPr>
        <w:t>22</w:t>
      </w:r>
    </w:p>
    <w:p>
      <w:pPr>
        <w:spacing w:after="0" w:line="210" w:lineRule="exact"/>
        <w:jc w:val="right"/>
        <w:rPr>
          <w:sz w:val="18"/>
        </w:rPr>
        <w:sectPr>
          <w:type w:val="continuous"/>
          <w:pgSz w:w="15840" w:h="12240" w:orient="landscape"/>
          <w:pgMar w:header="1255" w:footer="1171" w:top="1260" w:bottom="280" w:left="720" w:right="10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 w:after="1"/>
        <w:rPr>
          <w:sz w:val="20"/>
        </w:rPr>
      </w:pPr>
    </w:p>
    <w:tbl>
      <w:tblPr>
        <w:tblW w:w="0" w:type="auto"/>
        <w:jc w:val="left"/>
        <w:tblInd w:w="3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6"/>
        <w:gridCol w:w="10640"/>
        <w:gridCol w:w="2624"/>
      </w:tblGrid>
      <w:tr>
        <w:trPr>
          <w:trHeight w:val="401" w:hRule="atLeast"/>
        </w:trPr>
        <w:tc>
          <w:tcPr>
            <w:tcW w:w="42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640" w:type="dxa"/>
          </w:tcPr>
          <w:p>
            <w:pPr>
              <w:pStyle w:val="TableParagraph"/>
              <w:spacing w:before="7"/>
              <w:ind w:left="5475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z w:val="22"/>
              </w:rPr>
              <w:t>Table</w:t>
            </w:r>
            <w:r>
              <w:rPr>
                <w:rFonts w:ascii="Tahoma"/>
                <w:b/>
                <w:spacing w:val="-15"/>
                <w:sz w:val="22"/>
              </w:rPr>
              <w:t> </w:t>
            </w:r>
            <w:r>
              <w:rPr>
                <w:rFonts w:ascii="Tahoma"/>
                <w:b/>
                <w:sz w:val="22"/>
              </w:rPr>
              <w:t>of</w:t>
            </w:r>
            <w:r>
              <w:rPr>
                <w:rFonts w:ascii="Tahoma"/>
                <w:b/>
                <w:spacing w:val="-15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Contents</w:t>
            </w:r>
          </w:p>
        </w:tc>
        <w:tc>
          <w:tcPr>
            <w:tcW w:w="2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22" w:hRule="atLeast"/>
        </w:trPr>
        <w:tc>
          <w:tcPr>
            <w:tcW w:w="426" w:type="dxa"/>
          </w:tcPr>
          <w:p>
            <w:pPr>
              <w:pStyle w:val="TableParagraph"/>
              <w:spacing w:before="131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1.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31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w w:val="90"/>
                <w:sz w:val="22"/>
              </w:rPr>
              <w:t>INTRODUCTION</w:t>
            </w:r>
            <w:r>
              <w:rPr>
                <w:rFonts w:ascii="Tahoma"/>
                <w:b/>
                <w:spacing w:val="31"/>
                <w:sz w:val="22"/>
              </w:rPr>
              <w:t> </w:t>
            </w:r>
            <w:r>
              <w:rPr>
                <w:rFonts w:ascii="Tahoma"/>
                <w:b/>
                <w:w w:val="90"/>
                <w:sz w:val="22"/>
              </w:rPr>
              <w:t>AND</w:t>
            </w:r>
            <w:r>
              <w:rPr>
                <w:rFonts w:ascii="Tahoma"/>
                <w:b/>
                <w:spacing w:val="31"/>
                <w:sz w:val="22"/>
              </w:rPr>
              <w:t> </w:t>
            </w:r>
            <w:r>
              <w:rPr>
                <w:rFonts w:ascii="Tahoma"/>
                <w:b/>
                <w:spacing w:val="-2"/>
                <w:w w:val="90"/>
                <w:sz w:val="22"/>
              </w:rPr>
              <w:t>SUMMARY</w:t>
            </w:r>
          </w:p>
        </w:tc>
        <w:tc>
          <w:tcPr>
            <w:tcW w:w="2624" w:type="dxa"/>
          </w:tcPr>
          <w:p>
            <w:pPr>
              <w:pStyle w:val="TableParagraph"/>
              <w:spacing w:before="142"/>
              <w:ind w:right="52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10"/>
                <w:sz w:val="22"/>
              </w:rPr>
              <w:t>4</w:t>
            </w:r>
          </w:p>
        </w:tc>
      </w:tr>
      <w:tr>
        <w:trPr>
          <w:trHeight w:val="512" w:hRule="atLeast"/>
        </w:trPr>
        <w:tc>
          <w:tcPr>
            <w:tcW w:w="426" w:type="dxa"/>
          </w:tcPr>
          <w:p>
            <w:pPr>
              <w:pStyle w:val="TableParagraph"/>
              <w:spacing w:before="122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2.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2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8"/>
                <w:sz w:val="22"/>
              </w:rPr>
              <w:t>INFORMATION AND</w:t>
            </w:r>
            <w:r>
              <w:rPr>
                <w:rFonts w:ascii="Tahoma"/>
                <w:b/>
                <w:spacing w:val="-7"/>
                <w:sz w:val="22"/>
              </w:rPr>
              <w:t> </w:t>
            </w:r>
            <w:r>
              <w:rPr>
                <w:rFonts w:ascii="Tahoma"/>
                <w:b/>
                <w:spacing w:val="-8"/>
                <w:sz w:val="22"/>
              </w:rPr>
              <w:t>CAVEATS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2"/>
              <w:ind w:right="52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10"/>
                <w:sz w:val="22"/>
              </w:rPr>
              <w:t>5</w:t>
            </w:r>
          </w:p>
        </w:tc>
      </w:tr>
      <w:tr>
        <w:trPr>
          <w:trHeight w:val="512" w:hRule="atLeast"/>
        </w:trPr>
        <w:tc>
          <w:tcPr>
            <w:tcW w:w="426" w:type="dxa"/>
          </w:tcPr>
          <w:p>
            <w:pPr>
              <w:pStyle w:val="TableParagraph"/>
              <w:spacing w:before="121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3.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1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2"/>
                <w:sz w:val="22"/>
              </w:rPr>
              <w:t>OVERVIEW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1"/>
              <w:ind w:right="52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10"/>
                <w:sz w:val="22"/>
              </w:rPr>
              <w:t>8</w:t>
            </w:r>
          </w:p>
        </w:tc>
      </w:tr>
      <w:tr>
        <w:trPr>
          <w:trHeight w:val="513" w:hRule="atLeast"/>
        </w:trPr>
        <w:tc>
          <w:tcPr>
            <w:tcW w:w="426" w:type="dxa"/>
          </w:tcPr>
          <w:p>
            <w:pPr>
              <w:pStyle w:val="TableParagraph"/>
              <w:spacing w:before="122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4.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2"/>
              <w:ind w:left="18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w w:val="90"/>
                <w:sz w:val="22"/>
              </w:rPr>
              <w:t>FINANCIAL</w:t>
            </w:r>
            <w:r>
              <w:rPr>
                <w:rFonts w:ascii="Tahoma" w:hAnsi="Tahoma"/>
                <w:b/>
                <w:spacing w:val="28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INFORMATION</w:t>
            </w:r>
            <w:r>
              <w:rPr>
                <w:rFonts w:ascii="Tahoma" w:hAnsi="Tahoma"/>
                <w:b/>
                <w:spacing w:val="25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–</w:t>
            </w:r>
            <w:r>
              <w:rPr>
                <w:rFonts w:ascii="Tahoma" w:hAnsi="Tahoma"/>
                <w:b/>
                <w:spacing w:val="25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PROJECT</w:t>
            </w:r>
            <w:r>
              <w:rPr>
                <w:rFonts w:ascii="Tahoma" w:hAnsi="Tahoma"/>
                <w:b/>
                <w:spacing w:val="28"/>
                <w:sz w:val="22"/>
              </w:rPr>
              <w:t> </w:t>
            </w:r>
            <w:r>
              <w:rPr>
                <w:rFonts w:ascii="Tahoma" w:hAnsi="Tahoma"/>
                <w:b/>
                <w:spacing w:val="-2"/>
                <w:w w:val="90"/>
                <w:sz w:val="22"/>
              </w:rPr>
              <w:t>FORECASTS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2"/>
              <w:ind w:right="51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11</w:t>
            </w:r>
          </w:p>
        </w:tc>
      </w:tr>
      <w:tr>
        <w:trPr>
          <w:trHeight w:val="513" w:hRule="atLeast"/>
        </w:trPr>
        <w:tc>
          <w:tcPr>
            <w:tcW w:w="426" w:type="dxa"/>
          </w:tcPr>
          <w:p>
            <w:pPr>
              <w:pStyle w:val="TableParagraph"/>
              <w:spacing w:before="122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4.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2"/>
              <w:ind w:left="18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w w:val="90"/>
                <w:sz w:val="22"/>
              </w:rPr>
              <w:t>FINANCIAL</w:t>
            </w:r>
            <w:r>
              <w:rPr>
                <w:rFonts w:ascii="Tahoma" w:hAnsi="Tahoma"/>
                <w:b/>
                <w:spacing w:val="9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INFORMATION</w:t>
            </w:r>
            <w:r>
              <w:rPr>
                <w:rFonts w:ascii="Tahoma" w:hAnsi="Tahoma"/>
                <w:b/>
                <w:spacing w:val="7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–</w:t>
            </w:r>
            <w:r>
              <w:rPr>
                <w:rFonts w:ascii="Tahoma" w:hAnsi="Tahoma"/>
                <w:b/>
                <w:spacing w:val="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GILT</w:t>
            </w:r>
            <w:r>
              <w:rPr>
                <w:rFonts w:ascii="Tahoma" w:hAnsi="Tahoma"/>
                <w:b/>
                <w:spacing w:val="7"/>
                <w:sz w:val="22"/>
              </w:rPr>
              <w:t> </w:t>
            </w:r>
            <w:r>
              <w:rPr>
                <w:rFonts w:ascii="Tahoma" w:hAnsi="Tahoma"/>
                <w:b/>
                <w:spacing w:val="-2"/>
                <w:w w:val="90"/>
                <w:sz w:val="22"/>
              </w:rPr>
              <w:t>FORECASTS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2"/>
              <w:ind w:right="50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13</w:t>
            </w:r>
          </w:p>
        </w:tc>
      </w:tr>
      <w:tr>
        <w:trPr>
          <w:trHeight w:val="512" w:hRule="atLeast"/>
        </w:trPr>
        <w:tc>
          <w:tcPr>
            <w:tcW w:w="426" w:type="dxa"/>
          </w:tcPr>
          <w:p>
            <w:pPr>
              <w:pStyle w:val="TableParagraph"/>
              <w:spacing w:before="122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5.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2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2"/>
                <w:sz w:val="22"/>
              </w:rPr>
              <w:t>RESEARCH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2"/>
              <w:ind w:right="50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14</w:t>
            </w:r>
          </w:p>
        </w:tc>
      </w:tr>
      <w:tr>
        <w:trPr>
          <w:trHeight w:val="513" w:hRule="atLeast"/>
        </w:trPr>
        <w:tc>
          <w:tcPr>
            <w:tcW w:w="426" w:type="dxa"/>
          </w:tcPr>
          <w:p>
            <w:pPr>
              <w:pStyle w:val="TableParagraph"/>
              <w:spacing w:before="121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6.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1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8"/>
                <w:sz w:val="22"/>
              </w:rPr>
              <w:t>VALUATION</w:t>
            </w:r>
            <w:r>
              <w:rPr>
                <w:rFonts w:ascii="Tahoma"/>
                <w:b/>
                <w:spacing w:val="-6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METHODOLOGY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1"/>
              <w:ind w:right="51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15</w:t>
            </w:r>
          </w:p>
        </w:tc>
      </w:tr>
      <w:tr>
        <w:trPr>
          <w:trHeight w:val="513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7.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3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8"/>
                <w:sz w:val="22"/>
              </w:rPr>
              <w:t>VALUATION</w:t>
            </w:r>
            <w:r>
              <w:rPr>
                <w:rFonts w:ascii="Tahoma"/>
                <w:b/>
                <w:spacing w:val="-6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ASSUMPTIONS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4"/>
              <w:ind w:right="50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17</w:t>
            </w:r>
          </w:p>
        </w:tc>
      </w:tr>
      <w:tr>
        <w:trPr>
          <w:trHeight w:val="513" w:hRule="atLeast"/>
        </w:trPr>
        <w:tc>
          <w:tcPr>
            <w:tcW w:w="426" w:type="dxa"/>
          </w:tcPr>
          <w:p>
            <w:pPr>
              <w:pStyle w:val="TableParagraph"/>
              <w:spacing w:before="121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8.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1"/>
              <w:ind w:left="18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w w:val="90"/>
                <w:sz w:val="22"/>
              </w:rPr>
              <w:t>VALUATION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CALCULATIONS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–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PART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1/3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–</w:t>
            </w:r>
            <w:r>
              <w:rPr>
                <w:rFonts w:ascii="Tahoma" w:hAnsi="Tahoma"/>
                <w:b/>
                <w:spacing w:val="14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VALUATION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OF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w w:val="90"/>
                <w:sz w:val="22"/>
              </w:rPr>
              <w:t>FORESTRY</w:t>
            </w:r>
            <w:r>
              <w:rPr>
                <w:rFonts w:ascii="Tahoma" w:hAnsi="Tahoma"/>
                <w:b/>
                <w:spacing w:val="16"/>
                <w:sz w:val="22"/>
              </w:rPr>
              <w:t> </w:t>
            </w:r>
            <w:r>
              <w:rPr>
                <w:rFonts w:ascii="Tahoma" w:hAnsi="Tahoma"/>
                <w:b/>
                <w:spacing w:val="-2"/>
                <w:w w:val="90"/>
                <w:sz w:val="22"/>
              </w:rPr>
              <w:t>PROJECT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1"/>
              <w:ind w:right="50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19</w:t>
            </w:r>
          </w:p>
        </w:tc>
      </w:tr>
      <w:tr>
        <w:trPr>
          <w:trHeight w:val="513" w:hRule="atLeast"/>
        </w:trPr>
        <w:tc>
          <w:tcPr>
            <w:tcW w:w="426" w:type="dxa"/>
          </w:tcPr>
          <w:p>
            <w:pPr>
              <w:pStyle w:val="TableParagraph"/>
              <w:spacing w:before="123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8.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3"/>
              <w:ind w:left="18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pacing w:val="-10"/>
                <w:sz w:val="22"/>
              </w:rPr>
              <w:t>VALUATION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CALCULATIONS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–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PART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2/3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–</w:t>
            </w:r>
            <w:r>
              <w:rPr>
                <w:rFonts w:ascii="Tahoma" w:hAnsi="Tahoma"/>
                <w:b/>
                <w:spacing w:val="-3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VALUATION</w:t>
            </w:r>
            <w:r>
              <w:rPr>
                <w:rFonts w:ascii="Tahoma" w:hAnsi="Tahoma"/>
                <w:b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OF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GILT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4"/>
              <w:ind w:right="50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20</w:t>
            </w:r>
          </w:p>
        </w:tc>
      </w:tr>
      <w:tr>
        <w:trPr>
          <w:trHeight w:val="511" w:hRule="atLeast"/>
        </w:trPr>
        <w:tc>
          <w:tcPr>
            <w:tcW w:w="426" w:type="dxa"/>
          </w:tcPr>
          <w:p>
            <w:pPr>
              <w:pStyle w:val="TableParagraph"/>
              <w:spacing w:before="121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8.</w:t>
            </w:r>
          </w:p>
        </w:tc>
        <w:tc>
          <w:tcPr>
            <w:tcW w:w="10640" w:type="dxa"/>
          </w:tcPr>
          <w:p>
            <w:pPr>
              <w:pStyle w:val="TableParagraph"/>
              <w:spacing w:before="121"/>
              <w:ind w:left="187"/>
              <w:rPr>
                <w:rFonts w:ascii="Tahoma" w:hAnsi="Tahoma"/>
                <w:b/>
                <w:sz w:val="22"/>
              </w:rPr>
            </w:pPr>
            <w:r>
              <w:rPr>
                <w:rFonts w:ascii="Tahoma" w:hAnsi="Tahoma"/>
                <w:b/>
                <w:spacing w:val="-10"/>
                <w:sz w:val="22"/>
              </w:rPr>
              <w:t>VALUATION</w:t>
            </w:r>
            <w:r>
              <w:rPr>
                <w:rFonts w:ascii="Tahoma" w:hAnsi="Tahoma"/>
                <w:b/>
                <w:spacing w:val="-2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CALCULATION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–</w:t>
            </w:r>
            <w:r>
              <w:rPr>
                <w:rFonts w:ascii="Tahoma" w:hAnsi="Tahoma"/>
                <w:b/>
                <w:spacing w:val="-4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PART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3/3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–</w:t>
            </w:r>
            <w:r>
              <w:rPr>
                <w:rFonts w:ascii="Tahoma" w:hAnsi="Tahoma"/>
                <w:b/>
                <w:spacing w:val="-2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SUMMARY</w:t>
            </w:r>
            <w:r>
              <w:rPr>
                <w:rFonts w:ascii="Tahoma" w:hAnsi="Tahoma"/>
                <w:b/>
                <w:spacing w:val="-1"/>
                <w:sz w:val="22"/>
              </w:rPr>
              <w:t> </w:t>
            </w:r>
            <w:r>
              <w:rPr>
                <w:rFonts w:ascii="Tahoma" w:hAnsi="Tahoma"/>
                <w:b/>
                <w:spacing w:val="-10"/>
                <w:sz w:val="22"/>
              </w:rPr>
              <w:t>OPINION</w:t>
            </w:r>
          </w:p>
        </w:tc>
        <w:tc>
          <w:tcPr>
            <w:tcW w:w="2624" w:type="dxa"/>
          </w:tcPr>
          <w:p>
            <w:pPr>
              <w:pStyle w:val="TableParagraph"/>
              <w:spacing w:before="131"/>
              <w:ind w:right="49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21</w:t>
            </w:r>
          </w:p>
        </w:tc>
      </w:tr>
      <w:tr>
        <w:trPr>
          <w:trHeight w:val="397" w:hRule="atLeast"/>
        </w:trPr>
        <w:tc>
          <w:tcPr>
            <w:tcW w:w="426" w:type="dxa"/>
          </w:tcPr>
          <w:p>
            <w:pPr>
              <w:pStyle w:val="TableParagraph"/>
              <w:spacing w:line="257" w:lineRule="exact" w:before="121"/>
              <w:ind w:left="50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5"/>
                <w:sz w:val="22"/>
              </w:rPr>
              <w:t>9.</w:t>
            </w:r>
          </w:p>
        </w:tc>
        <w:tc>
          <w:tcPr>
            <w:tcW w:w="10640" w:type="dxa"/>
          </w:tcPr>
          <w:p>
            <w:pPr>
              <w:pStyle w:val="TableParagraph"/>
              <w:spacing w:line="257" w:lineRule="exact" w:before="121"/>
              <w:ind w:left="187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w w:val="90"/>
                <w:sz w:val="22"/>
              </w:rPr>
              <w:t>VALUER</w:t>
            </w:r>
            <w:r>
              <w:rPr>
                <w:rFonts w:ascii="Tahoma"/>
                <w:b/>
                <w:spacing w:val="14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RESPONSIBLE</w:t>
            </w:r>
          </w:p>
        </w:tc>
        <w:tc>
          <w:tcPr>
            <w:tcW w:w="2624" w:type="dxa"/>
          </w:tcPr>
          <w:p>
            <w:pPr>
              <w:pStyle w:val="TableParagraph"/>
              <w:spacing w:line="246" w:lineRule="exact" w:before="131"/>
              <w:ind w:right="51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5"/>
                <w:sz w:val="22"/>
              </w:rPr>
              <w:t>22</w:t>
            </w:r>
          </w:p>
        </w:tc>
      </w:tr>
    </w:tbl>
    <w:p>
      <w:pPr>
        <w:pStyle w:val="TableParagraph"/>
        <w:spacing w:after="0" w:line="246" w:lineRule="exact"/>
        <w:jc w:val="right"/>
        <w:rPr>
          <w:rFonts w:ascii="Calibri"/>
          <w:b/>
          <w:sz w:val="22"/>
        </w:rPr>
        <w:sectPr>
          <w:headerReference w:type="default" r:id="rId11"/>
          <w:footerReference w:type="default" r:id="rId12"/>
          <w:pgSz w:w="15840" w:h="12240" w:orient="landscape"/>
          <w:pgMar w:header="1255" w:footer="1419" w:top="1880" w:bottom="1600" w:left="720" w:right="1080"/>
          <w:pgNumType w:start="3"/>
        </w:sectPr>
      </w:pPr>
    </w:p>
    <w:p>
      <w:pPr>
        <w:pStyle w:val="Heading1"/>
        <w:numPr>
          <w:ilvl w:val="0"/>
          <w:numId w:val="1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w w:val="90"/>
        </w:rPr>
        <w:t>INTRODUCTION</w:t>
      </w:r>
      <w:r>
        <w:rPr>
          <w:spacing w:val="31"/>
        </w:rPr>
        <w:t> </w:t>
      </w:r>
      <w:r>
        <w:rPr>
          <w:w w:val="90"/>
        </w:rPr>
        <w:t>AND</w:t>
      </w:r>
      <w:r>
        <w:rPr>
          <w:spacing w:val="32"/>
        </w:rPr>
        <w:t> </w:t>
      </w:r>
      <w:r>
        <w:rPr>
          <w:spacing w:val="-2"/>
          <w:w w:val="90"/>
        </w:rPr>
        <w:t>SUMMARY</w:t>
      </w:r>
    </w:p>
    <w:p>
      <w:pPr>
        <w:pStyle w:val="Heading2"/>
        <w:spacing w:before="181"/>
      </w:pPr>
      <w:r>
        <w:rPr>
          <w:spacing w:val="-2"/>
        </w:rPr>
        <w:t>Introduction</w:t>
      </w:r>
    </w:p>
    <w:p>
      <w:pPr>
        <w:pStyle w:val="BodyText"/>
        <w:spacing w:line="249" w:lineRule="auto" w:before="122"/>
        <w:ind w:left="345" w:right="77"/>
        <w:jc w:val="both"/>
      </w:pPr>
      <w:r>
        <w:rPr/>
        <w:t>Valuation</w:t>
      </w:r>
      <w:r>
        <w:rPr>
          <w:spacing w:val="-12"/>
        </w:rPr>
        <w:t> </w:t>
      </w:r>
      <w:r>
        <w:rPr/>
        <w:t>Consulting</w:t>
      </w:r>
      <w:r>
        <w:rPr>
          <w:spacing w:val="-15"/>
        </w:rPr>
        <w:t> </w:t>
      </w:r>
      <w:r>
        <w:rPr/>
        <w:t>(“VC”)</w:t>
      </w:r>
      <w:r>
        <w:rPr>
          <w:spacing w:val="-12"/>
        </w:rPr>
        <w:t> </w:t>
      </w:r>
      <w:r>
        <w:rPr/>
        <w:t>is</w:t>
      </w:r>
      <w:r>
        <w:rPr>
          <w:spacing w:val="-12"/>
        </w:rPr>
        <w:t> </w:t>
      </w:r>
      <w:r>
        <w:rPr/>
        <w:t>dedicated</w:t>
      </w:r>
      <w:r>
        <w:rPr>
          <w:spacing w:val="-13"/>
        </w:rPr>
        <w:t> </w:t>
      </w:r>
      <w:r>
        <w:rPr/>
        <w:t>to</w:t>
      </w:r>
      <w:r>
        <w:rPr>
          <w:spacing w:val="-10"/>
        </w:rPr>
        <w:t> </w:t>
      </w:r>
      <w:r>
        <w:rPr/>
        <w:t>the</w:t>
      </w:r>
      <w:r>
        <w:rPr>
          <w:spacing w:val="-12"/>
        </w:rPr>
        <w:t> </w:t>
      </w:r>
      <w:r>
        <w:rPr/>
        <w:t>appraisal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any</w:t>
      </w:r>
      <w:r>
        <w:rPr>
          <w:spacing w:val="-12"/>
        </w:rPr>
        <w:t> </w:t>
      </w:r>
      <w:r>
        <w:rPr/>
        <w:t>financial</w:t>
      </w:r>
      <w:r>
        <w:rPr>
          <w:spacing w:val="-15"/>
        </w:rPr>
        <w:t> </w:t>
      </w:r>
      <w:r>
        <w:rPr/>
        <w:t>asset</w:t>
      </w:r>
      <w:r>
        <w:rPr>
          <w:spacing w:val="-12"/>
        </w:rPr>
        <w:t> </w:t>
      </w:r>
      <w:r>
        <w:rPr/>
        <w:t>that</w:t>
      </w:r>
      <w:r>
        <w:rPr>
          <w:spacing w:val="-12"/>
        </w:rPr>
        <w:t> </w:t>
      </w:r>
      <w:r>
        <w:rPr/>
        <w:t>does</w:t>
      </w:r>
      <w:r>
        <w:rPr>
          <w:spacing w:val="-9"/>
        </w:rPr>
        <w:t> </w:t>
      </w:r>
      <w:r>
        <w:rPr/>
        <w:t>not</w:t>
      </w:r>
      <w:r>
        <w:rPr>
          <w:spacing w:val="-9"/>
        </w:rPr>
        <w:t> </w:t>
      </w:r>
      <w:r>
        <w:rPr/>
        <w:t>have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ready</w:t>
      </w:r>
      <w:r>
        <w:rPr>
          <w:spacing w:val="-14"/>
        </w:rPr>
        <w:t> </w:t>
      </w:r>
      <w:r>
        <w:rPr/>
        <w:t>market</w:t>
      </w:r>
      <w:r>
        <w:rPr>
          <w:spacing w:val="-9"/>
        </w:rPr>
        <w:t> </w:t>
      </w:r>
      <w:r>
        <w:rPr/>
        <w:t>valuation. VC’s</w:t>
      </w:r>
      <w:r>
        <w:rPr>
          <w:spacing w:val="-10"/>
        </w:rPr>
        <w:t> </w:t>
      </w:r>
      <w:r>
        <w:rPr/>
        <w:t>directors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accredited</w:t>
      </w:r>
      <w:r>
        <w:rPr>
          <w:spacing w:val="-6"/>
        </w:rPr>
        <w:t> </w:t>
      </w:r>
      <w:r>
        <w:rPr/>
        <w:t>experts</w:t>
      </w:r>
      <w:r>
        <w:rPr>
          <w:spacing w:val="-4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practice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valuing</w:t>
      </w:r>
      <w:r>
        <w:rPr>
          <w:spacing w:val="-7"/>
        </w:rPr>
        <w:t> </w:t>
      </w:r>
      <w:r>
        <w:rPr/>
        <w:t>companies,</w:t>
      </w:r>
      <w:r>
        <w:rPr>
          <w:spacing w:val="-4"/>
        </w:rPr>
        <w:t> </w:t>
      </w:r>
      <w:r>
        <w:rPr/>
        <w:t>intellectual</w:t>
      </w:r>
      <w:r>
        <w:rPr>
          <w:spacing w:val="-4"/>
        </w:rPr>
        <w:t> </w:t>
      </w:r>
      <w:r>
        <w:rPr/>
        <w:t>property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intangible</w:t>
      </w:r>
      <w:r>
        <w:rPr>
          <w:spacing w:val="-7"/>
        </w:rPr>
        <w:t> </w:t>
      </w:r>
      <w:r>
        <w:rPr/>
        <w:t>assets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the UK and internationally.</w:t>
      </w:r>
    </w:p>
    <w:p>
      <w:pPr>
        <w:pStyle w:val="BodyText"/>
        <w:spacing w:line="249" w:lineRule="auto" w:before="109"/>
        <w:ind w:left="345" w:right="80"/>
        <w:jc w:val="both"/>
      </w:pPr>
      <w:r>
        <w:rPr/>
        <w:t>This</w:t>
      </w:r>
      <w:r>
        <w:rPr>
          <w:spacing w:val="-11"/>
        </w:rPr>
        <w:t> </w:t>
      </w:r>
      <w:r>
        <w:rPr/>
        <w:t>report</w:t>
      </w:r>
      <w:r>
        <w:rPr>
          <w:spacing w:val="-13"/>
        </w:rPr>
        <w:t> </w:t>
      </w:r>
      <w:r>
        <w:rPr/>
        <w:t>has</w:t>
      </w:r>
      <w:r>
        <w:rPr>
          <w:spacing w:val="-11"/>
        </w:rPr>
        <w:t> </w:t>
      </w:r>
      <w:r>
        <w:rPr/>
        <w:t>been</w:t>
      </w:r>
      <w:r>
        <w:rPr>
          <w:spacing w:val="-13"/>
        </w:rPr>
        <w:t> </w:t>
      </w:r>
      <w:r>
        <w:rPr/>
        <w:t>prepared</w:t>
      </w:r>
      <w:r>
        <w:rPr>
          <w:spacing w:val="-10"/>
        </w:rPr>
        <w:t> </w:t>
      </w:r>
      <w:r>
        <w:rPr/>
        <w:t>in</w:t>
      </w:r>
      <w:r>
        <w:rPr>
          <w:spacing w:val="-11"/>
        </w:rPr>
        <w:t> </w:t>
      </w:r>
      <w:r>
        <w:rPr/>
        <w:t>accordance</w:t>
      </w:r>
      <w:r>
        <w:rPr>
          <w:spacing w:val="-8"/>
        </w:rPr>
        <w:t> </w:t>
      </w:r>
      <w:r>
        <w:rPr/>
        <w:t>with</w:t>
      </w:r>
      <w:r>
        <w:rPr>
          <w:spacing w:val="-11"/>
        </w:rPr>
        <w:t> </w:t>
      </w:r>
      <w:r>
        <w:rPr/>
        <w:t>our</w:t>
      </w:r>
      <w:r>
        <w:rPr>
          <w:spacing w:val="-14"/>
        </w:rPr>
        <w:t> </w:t>
      </w:r>
      <w:r>
        <w:rPr/>
        <w:t>letter</w:t>
      </w:r>
      <w:r>
        <w:rPr>
          <w:spacing w:val="-16"/>
        </w:rPr>
        <w:t> </w:t>
      </w:r>
      <w:r>
        <w:rPr/>
        <w:t>of</w:t>
      </w:r>
      <w:r>
        <w:rPr>
          <w:spacing w:val="-11"/>
        </w:rPr>
        <w:t> </w:t>
      </w:r>
      <w:r>
        <w:rPr/>
        <w:t>engagement</w:t>
      </w:r>
      <w:r>
        <w:rPr>
          <w:spacing w:val="-8"/>
        </w:rPr>
        <w:t> </w:t>
      </w:r>
      <w:r>
        <w:rPr/>
        <w:t>dated</w:t>
      </w:r>
      <w:r>
        <w:rPr>
          <w:spacing w:val="-7"/>
        </w:rPr>
        <w:t> </w:t>
      </w:r>
      <w:r>
        <w:rPr/>
        <w:t>3</w:t>
      </w:r>
      <w:r>
        <w:rPr>
          <w:spacing w:val="-12"/>
        </w:rPr>
        <w:t> </w:t>
      </w:r>
      <w:r>
        <w:rPr/>
        <w:t>February</w:t>
      </w:r>
      <w:r>
        <w:rPr>
          <w:spacing w:val="-10"/>
        </w:rPr>
        <w:t> </w:t>
      </w:r>
      <w:r>
        <w:rPr/>
        <w:t>2025.</w:t>
      </w:r>
      <w:r>
        <w:rPr>
          <w:spacing w:val="40"/>
        </w:rPr>
        <w:t> </w:t>
      </w:r>
      <w:r>
        <w:rPr/>
        <w:t>We</w:t>
      </w:r>
      <w:r>
        <w:rPr>
          <w:spacing w:val="-11"/>
        </w:rPr>
        <w:t> </w:t>
      </w:r>
      <w:r>
        <w:rPr/>
        <w:t>have</w:t>
      </w:r>
      <w:r>
        <w:rPr>
          <w:spacing w:val="-11"/>
        </w:rPr>
        <w:t> </w:t>
      </w:r>
      <w:r>
        <w:rPr/>
        <w:t>been</w:t>
      </w:r>
      <w:r>
        <w:rPr>
          <w:spacing w:val="-8"/>
        </w:rPr>
        <w:t> </w:t>
      </w:r>
      <w:r>
        <w:rPr/>
        <w:t>asked</w:t>
      </w:r>
      <w:r>
        <w:rPr>
          <w:spacing w:val="-10"/>
        </w:rPr>
        <w:t> </w:t>
      </w:r>
      <w:r>
        <w:rPr/>
        <w:t>to </w:t>
      </w:r>
      <w:r>
        <w:rPr>
          <w:spacing w:val="-2"/>
        </w:rPr>
        <w:t>perform</w:t>
      </w:r>
      <w:r>
        <w:rPr>
          <w:spacing w:val="-8"/>
        </w:rPr>
        <w:t> </w:t>
      </w:r>
      <w:r>
        <w:rPr>
          <w:spacing w:val="-2"/>
        </w:rPr>
        <w:t>an</w:t>
      </w:r>
      <w:r>
        <w:rPr>
          <w:spacing w:val="-8"/>
        </w:rPr>
        <w:t> </w:t>
      </w:r>
      <w:r>
        <w:rPr>
          <w:spacing w:val="-2"/>
        </w:rPr>
        <w:t>independent</w:t>
      </w:r>
      <w:r>
        <w:rPr>
          <w:spacing w:val="-8"/>
        </w:rPr>
        <w:t> </w:t>
      </w:r>
      <w:r>
        <w:rPr>
          <w:spacing w:val="-2"/>
        </w:rPr>
        <w:t>valuation</w:t>
      </w:r>
      <w:r>
        <w:rPr>
          <w:spacing w:val="-10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business</w:t>
      </w:r>
      <w:r>
        <w:rPr>
          <w:spacing w:val="-8"/>
        </w:rPr>
        <w:t> </w:t>
      </w:r>
      <w:r>
        <w:rPr>
          <w:spacing w:val="-2"/>
        </w:rPr>
        <w:t>line</w:t>
      </w:r>
      <w:r>
        <w:rPr>
          <w:spacing w:val="-10"/>
        </w:rPr>
        <w:t> </w:t>
      </w:r>
      <w:r>
        <w:rPr>
          <w:spacing w:val="-2"/>
        </w:rPr>
        <w:t>(the</w:t>
      </w:r>
      <w:r>
        <w:rPr>
          <w:spacing w:val="-10"/>
        </w:rPr>
        <w:t> </w:t>
      </w:r>
      <w:r>
        <w:rPr>
          <w:spacing w:val="-2"/>
        </w:rPr>
        <w:t>“Business</w:t>
      </w:r>
      <w:r>
        <w:rPr>
          <w:spacing w:val="-12"/>
        </w:rPr>
        <w:t> </w:t>
      </w:r>
      <w:r>
        <w:rPr>
          <w:spacing w:val="-2"/>
        </w:rPr>
        <w:t>Line”/”Project”)</w:t>
      </w:r>
      <w:r>
        <w:rPr>
          <w:spacing w:val="-5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Trees4Good</w:t>
      </w:r>
      <w:r>
        <w:rPr>
          <w:spacing w:val="-9"/>
        </w:rPr>
        <w:t> </w:t>
      </w:r>
      <w:r>
        <w:rPr>
          <w:spacing w:val="-2"/>
        </w:rPr>
        <w:t>Ltd</w:t>
      </w:r>
      <w:r>
        <w:rPr>
          <w:spacing w:val="-10"/>
        </w:rPr>
        <w:t> </w:t>
      </w:r>
      <w:r>
        <w:rPr>
          <w:spacing w:val="-2"/>
        </w:rPr>
        <w:t>(the</w:t>
      </w:r>
      <w:r>
        <w:rPr>
          <w:spacing w:val="-8"/>
        </w:rPr>
        <w:t> </w:t>
      </w:r>
      <w:r>
        <w:rPr>
          <w:spacing w:val="-2"/>
        </w:rPr>
        <w:t>“Company”),</w:t>
      </w:r>
      <w:r>
        <w:rPr>
          <w:spacing w:val="-8"/>
        </w:rPr>
        <w:t> </w:t>
      </w:r>
      <w:r>
        <w:rPr>
          <w:spacing w:val="-2"/>
        </w:rPr>
        <w:t>as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current</w:t>
      </w:r>
      <w:r>
        <w:rPr>
          <w:spacing w:val="-5"/>
        </w:rPr>
        <w:t> </w:t>
      </w:r>
      <w:r>
        <w:rPr/>
        <w:t>date,</w:t>
      </w:r>
      <w:r>
        <w:rPr>
          <w:spacing w:val="-5"/>
        </w:rPr>
        <w:t> </w:t>
      </w:r>
      <w:r>
        <w:rPr/>
        <w:t>which in</w:t>
      </w:r>
      <w:r>
        <w:rPr>
          <w:spacing w:val="-5"/>
        </w:rPr>
        <w:t> </w:t>
      </w:r>
      <w:r>
        <w:rPr/>
        <w:t>this</w:t>
      </w:r>
      <w:r>
        <w:rPr>
          <w:spacing w:val="-4"/>
        </w:rPr>
        <w:t> </w:t>
      </w:r>
      <w:r>
        <w:rPr/>
        <w:t>case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take</w:t>
      </w:r>
      <w:r>
        <w:rPr>
          <w:spacing w:val="-2"/>
        </w:rPr>
        <w:t> </w:t>
      </w:r>
      <w:r>
        <w:rPr/>
        <w:t>to be 17</w:t>
      </w:r>
      <w:r>
        <w:rPr>
          <w:spacing w:val="-2"/>
        </w:rPr>
        <w:t> </w:t>
      </w:r>
      <w:r>
        <w:rPr/>
        <w:t>March</w:t>
      </w:r>
      <w:r>
        <w:rPr>
          <w:spacing w:val="-5"/>
        </w:rPr>
        <w:t> </w:t>
      </w:r>
      <w:r>
        <w:rPr/>
        <w:t>2025</w:t>
      </w:r>
      <w:r>
        <w:rPr>
          <w:spacing w:val="-5"/>
        </w:rPr>
        <w:t> </w:t>
      </w:r>
      <w:r>
        <w:rPr/>
        <w:t>(“the Valuation Date”).</w:t>
      </w:r>
    </w:p>
    <w:p>
      <w:pPr>
        <w:pStyle w:val="BodyText"/>
        <w:spacing w:before="109"/>
        <w:ind w:left="345"/>
        <w:jc w:val="both"/>
      </w:pPr>
      <w:r>
        <w:rPr>
          <w:spacing w:val="-2"/>
        </w:rPr>
        <w:t>We</w:t>
      </w:r>
      <w:r>
        <w:rPr>
          <w:spacing w:val="-17"/>
        </w:rPr>
        <w:t> </w:t>
      </w:r>
      <w:r>
        <w:rPr>
          <w:spacing w:val="-2"/>
        </w:rPr>
        <w:t>understand</w:t>
      </w:r>
      <w:r>
        <w:rPr>
          <w:spacing w:val="-16"/>
        </w:rPr>
        <w:t> </w:t>
      </w:r>
      <w:r>
        <w:rPr>
          <w:spacing w:val="-2"/>
        </w:rPr>
        <w:t>that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1"/>
        </w:rPr>
        <w:t> </w:t>
      </w:r>
      <w:r>
        <w:rPr>
          <w:spacing w:val="-2"/>
        </w:rPr>
        <w:t>valuation</w:t>
      </w:r>
      <w:r>
        <w:rPr>
          <w:spacing w:val="-15"/>
        </w:rPr>
        <w:t> </w:t>
      </w:r>
      <w:r>
        <w:rPr>
          <w:spacing w:val="-2"/>
        </w:rPr>
        <w:t>is</w:t>
      </w:r>
      <w:r>
        <w:rPr>
          <w:spacing w:val="-13"/>
        </w:rPr>
        <w:t> </w:t>
      </w:r>
      <w:r>
        <w:rPr>
          <w:spacing w:val="-2"/>
        </w:rPr>
        <w:t>required</w:t>
      </w:r>
      <w:r>
        <w:rPr>
          <w:spacing w:val="-15"/>
        </w:rPr>
        <w:t> </w:t>
      </w:r>
      <w:r>
        <w:rPr>
          <w:spacing w:val="-2"/>
        </w:rPr>
        <w:t>for</w:t>
      </w:r>
      <w:r>
        <w:rPr>
          <w:spacing w:val="-17"/>
        </w:rPr>
        <w:t> </w:t>
      </w:r>
      <w:r>
        <w:rPr>
          <w:spacing w:val="-2"/>
        </w:rPr>
        <w:t>advisory</w:t>
      </w:r>
      <w:r>
        <w:rPr>
          <w:spacing w:val="-14"/>
        </w:rPr>
        <w:t> </w:t>
      </w:r>
      <w:r>
        <w:rPr>
          <w:spacing w:val="-2"/>
        </w:rPr>
        <w:t>purposes.</w:t>
      </w:r>
    </w:p>
    <w:p>
      <w:pPr>
        <w:pStyle w:val="Heading2"/>
        <w:spacing w:before="125"/>
      </w:pPr>
      <w:r>
        <w:rPr/>
        <w:t>Valuation</w:t>
      </w:r>
      <w:r>
        <w:rPr>
          <w:spacing w:val="-15"/>
        </w:rPr>
        <w:t> </w:t>
      </w:r>
      <w:r>
        <w:rPr>
          <w:spacing w:val="-4"/>
        </w:rPr>
        <w:t>Basis</w:t>
      </w:r>
    </w:p>
    <w:p>
      <w:pPr>
        <w:pStyle w:val="BodyText"/>
        <w:spacing w:line="249" w:lineRule="auto" w:before="120"/>
        <w:ind w:left="345" w:right="77"/>
        <w:jc w:val="both"/>
      </w:pPr>
      <w:r>
        <w:rPr/>
        <w:t>This</w:t>
      </w:r>
      <w:r>
        <w:rPr>
          <w:spacing w:val="-7"/>
        </w:rPr>
        <w:t> </w:t>
      </w:r>
      <w:r>
        <w:rPr/>
        <w:t>valuation</w:t>
      </w:r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/>
        <w:t>prepared</w:t>
      </w:r>
      <w:r>
        <w:rPr>
          <w:spacing w:val="-5"/>
        </w:rPr>
        <w:t> </w:t>
      </w:r>
      <w:r>
        <w:rPr/>
        <w:t>on</w:t>
      </w:r>
      <w:r>
        <w:rPr>
          <w:spacing w:val="-7"/>
        </w:rPr>
        <w:t> </w:t>
      </w:r>
      <w:r>
        <w:rPr/>
        <w:t>a</w:t>
      </w:r>
      <w:r>
        <w:rPr>
          <w:spacing w:val="-8"/>
        </w:rPr>
        <w:t> </w:t>
      </w:r>
      <w:r>
        <w:rPr/>
        <w:t>market</w:t>
      </w:r>
      <w:r>
        <w:rPr>
          <w:spacing w:val="-5"/>
        </w:rPr>
        <w:t> </w:t>
      </w:r>
      <w:r>
        <w:rPr/>
        <w:t>basis</w:t>
      </w:r>
      <w:r>
        <w:rPr>
          <w:spacing w:val="-7"/>
        </w:rPr>
        <w:t> </w:t>
      </w:r>
      <w:r>
        <w:rPr/>
        <w:t>as</w:t>
      </w:r>
      <w:r>
        <w:rPr>
          <w:spacing w:val="-7"/>
        </w:rPr>
        <w:t> </w:t>
      </w:r>
      <w:r>
        <w:rPr/>
        <w:t>defined</w:t>
      </w:r>
      <w:r>
        <w:rPr>
          <w:spacing w:val="-5"/>
        </w:rPr>
        <w:t> </w:t>
      </w:r>
      <w:r>
        <w:rPr/>
        <w:t>by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International</w:t>
      </w:r>
      <w:r>
        <w:rPr>
          <w:spacing w:val="-5"/>
        </w:rPr>
        <w:t> </w:t>
      </w:r>
      <w:r>
        <w:rPr/>
        <w:t>Valuation</w:t>
      </w:r>
      <w:r>
        <w:rPr>
          <w:spacing w:val="-7"/>
        </w:rPr>
        <w:t> </w:t>
      </w:r>
      <w:r>
        <w:rPr/>
        <w:t>Standards</w:t>
      </w:r>
      <w:r>
        <w:rPr>
          <w:spacing w:val="-9"/>
        </w:rPr>
        <w:t> </w:t>
      </w:r>
      <w:r>
        <w:rPr/>
        <w:t>as</w:t>
      </w:r>
      <w:r>
        <w:rPr>
          <w:spacing w:val="-5"/>
        </w:rPr>
        <w:t> </w:t>
      </w:r>
      <w:r>
        <w:rPr/>
        <w:t>“the</w:t>
      </w:r>
      <w:r>
        <w:rPr>
          <w:spacing w:val="-7"/>
        </w:rPr>
        <w:t> </w:t>
      </w:r>
      <w:r>
        <w:rPr/>
        <w:t>estimated</w:t>
      </w:r>
      <w:r>
        <w:rPr>
          <w:spacing w:val="-4"/>
        </w:rPr>
        <w:t> </w:t>
      </w:r>
      <w:r>
        <w:rPr/>
        <w:t>amount for</w:t>
      </w:r>
      <w:r>
        <w:rPr>
          <w:spacing w:val="-8"/>
        </w:rPr>
        <w:t> </w:t>
      </w:r>
      <w:r>
        <w:rPr/>
        <w:t>which</w:t>
      </w:r>
      <w:r>
        <w:rPr>
          <w:spacing w:val="-2"/>
        </w:rPr>
        <w:t> </w:t>
      </w:r>
      <w:r>
        <w:rPr/>
        <w:t>a</w:t>
      </w:r>
      <w:r>
        <w:rPr>
          <w:spacing w:val="-11"/>
        </w:rPr>
        <w:t> </w:t>
      </w:r>
      <w:r>
        <w:rPr/>
        <w:t>property</w:t>
      </w:r>
      <w:r>
        <w:rPr>
          <w:spacing w:val="-9"/>
        </w:rPr>
        <w:t> </w:t>
      </w:r>
      <w:r>
        <w:rPr/>
        <w:t>(asset)</w:t>
      </w:r>
      <w:r>
        <w:rPr>
          <w:spacing w:val="-8"/>
        </w:rPr>
        <w:t> </w:t>
      </w:r>
      <w:r>
        <w:rPr/>
        <w:t>should</w:t>
      </w:r>
      <w:r>
        <w:rPr>
          <w:spacing w:val="-8"/>
        </w:rPr>
        <w:t> </w:t>
      </w:r>
      <w:r>
        <w:rPr/>
        <w:t>exchange</w:t>
      </w:r>
      <w:r>
        <w:rPr>
          <w:spacing w:val="-6"/>
        </w:rPr>
        <w:t> </w:t>
      </w:r>
      <w:r>
        <w:rPr/>
        <w:t>on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date</w:t>
      </w:r>
      <w:r>
        <w:rPr>
          <w:spacing w:val="-6"/>
        </w:rPr>
        <w:t> </w:t>
      </w:r>
      <w:r>
        <w:rPr/>
        <w:t>of</w:t>
      </w:r>
      <w:r>
        <w:rPr>
          <w:spacing w:val="-9"/>
        </w:rPr>
        <w:t> </w:t>
      </w:r>
      <w:r>
        <w:rPr/>
        <w:t>valuation</w:t>
      </w:r>
      <w:r>
        <w:rPr>
          <w:spacing w:val="-8"/>
        </w:rPr>
        <w:t> </w:t>
      </w:r>
      <w:r>
        <w:rPr/>
        <w:t>between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willing</w:t>
      </w:r>
      <w:r>
        <w:rPr>
          <w:spacing w:val="-6"/>
        </w:rPr>
        <w:t> </w:t>
      </w:r>
      <w:r>
        <w:rPr/>
        <w:t>buyer</w:t>
      </w:r>
      <w:r>
        <w:rPr>
          <w:spacing w:val="-8"/>
        </w:rPr>
        <w:t> </w:t>
      </w:r>
      <w:r>
        <w:rPr/>
        <w:t>and</w:t>
      </w:r>
      <w:r>
        <w:rPr>
          <w:spacing w:val="-7"/>
        </w:rPr>
        <w:t> </w:t>
      </w:r>
      <w:r>
        <w:rPr/>
        <w:t>willing</w:t>
      </w:r>
      <w:r>
        <w:rPr>
          <w:spacing w:val="-6"/>
        </w:rPr>
        <w:t> </w:t>
      </w:r>
      <w:r>
        <w:rPr/>
        <w:t>seller</w:t>
      </w:r>
      <w:r>
        <w:rPr>
          <w:spacing w:val="-8"/>
        </w:rPr>
        <w:t> </w:t>
      </w:r>
      <w:r>
        <w:rPr/>
        <w:t>in</w:t>
      </w:r>
      <w:r>
        <w:rPr>
          <w:spacing w:val="-6"/>
        </w:rPr>
        <w:t> </w:t>
      </w:r>
      <w:r>
        <w:rPr/>
        <w:t>an</w:t>
      </w:r>
      <w:r>
        <w:rPr>
          <w:spacing w:val="-8"/>
        </w:rPr>
        <w:t> </w:t>
      </w:r>
      <w:r>
        <w:rPr/>
        <w:t>arm’s length transaction after proper marketing wherein the parties had each acted knowledgeably, prudently and without </w:t>
      </w:r>
      <w:r>
        <w:rPr>
          <w:spacing w:val="-2"/>
        </w:rPr>
        <w:t>compulsion.”</w:t>
      </w:r>
    </w:p>
    <w:p>
      <w:pPr>
        <w:pStyle w:val="BodyText"/>
        <w:spacing w:line="247" w:lineRule="auto" w:before="107"/>
        <w:ind w:left="345" w:right="79"/>
        <w:jc w:val="both"/>
      </w:pPr>
      <w:r>
        <w:rPr>
          <w:spacing w:val="-2"/>
        </w:rPr>
        <w:t>This</w:t>
      </w:r>
      <w:r>
        <w:rPr>
          <w:spacing w:val="-18"/>
        </w:rPr>
        <w:t> </w:t>
      </w:r>
      <w:r>
        <w:rPr>
          <w:spacing w:val="-2"/>
        </w:rPr>
        <w:t>is</w:t>
      </w:r>
      <w:r>
        <w:rPr>
          <w:spacing w:val="-15"/>
        </w:rPr>
        <w:t> </w:t>
      </w:r>
      <w:r>
        <w:rPr>
          <w:spacing w:val="-2"/>
        </w:rPr>
        <w:t>an</w:t>
      </w:r>
      <w:r>
        <w:rPr>
          <w:spacing w:val="-18"/>
        </w:rPr>
        <w:t> </w:t>
      </w:r>
      <w:r>
        <w:rPr>
          <w:spacing w:val="-2"/>
        </w:rPr>
        <w:t>objective</w:t>
      </w:r>
      <w:r>
        <w:rPr>
          <w:spacing w:val="-17"/>
        </w:rPr>
        <w:t> </w:t>
      </w:r>
      <w:r>
        <w:rPr>
          <w:spacing w:val="-2"/>
        </w:rPr>
        <w:t>basis</w:t>
      </w:r>
      <w:r>
        <w:rPr>
          <w:spacing w:val="-15"/>
        </w:rPr>
        <w:t> </w:t>
      </w:r>
      <w:r>
        <w:rPr>
          <w:spacing w:val="-2"/>
        </w:rPr>
        <w:t>of</w:t>
      </w:r>
      <w:r>
        <w:rPr>
          <w:spacing w:val="-18"/>
        </w:rPr>
        <w:t> </w:t>
      </w:r>
      <w:r>
        <w:rPr>
          <w:spacing w:val="-2"/>
        </w:rPr>
        <w:t>valuation,</w:t>
      </w:r>
      <w:r>
        <w:rPr>
          <w:spacing w:val="-11"/>
        </w:rPr>
        <w:t> </w:t>
      </w:r>
      <w:r>
        <w:rPr>
          <w:spacing w:val="-2"/>
        </w:rPr>
        <w:t>which</w:t>
      </w:r>
      <w:r>
        <w:rPr>
          <w:spacing w:val="-15"/>
        </w:rPr>
        <w:t> </w:t>
      </w:r>
      <w:r>
        <w:rPr>
          <w:spacing w:val="-2"/>
        </w:rPr>
        <w:t>entails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depersonalised</w:t>
      </w:r>
      <w:r>
        <w:rPr>
          <w:spacing w:val="-14"/>
        </w:rPr>
        <w:t> </w:t>
      </w:r>
      <w:r>
        <w:rPr>
          <w:spacing w:val="-2"/>
        </w:rPr>
        <w:t>approach.</w:t>
      </w:r>
      <w:r>
        <w:rPr>
          <w:spacing w:val="-15"/>
        </w:rPr>
        <w:t> </w:t>
      </w:r>
      <w:r>
        <w:rPr>
          <w:spacing w:val="-2"/>
        </w:rPr>
        <w:t>This</w:t>
      </w:r>
      <w:r>
        <w:rPr>
          <w:spacing w:val="-13"/>
        </w:rPr>
        <w:t> </w:t>
      </w:r>
      <w:r>
        <w:rPr>
          <w:spacing w:val="-2"/>
        </w:rPr>
        <w:t>means</w:t>
      </w:r>
      <w:r>
        <w:rPr>
          <w:spacing w:val="-15"/>
        </w:rPr>
        <w:t> </w:t>
      </w:r>
      <w:r>
        <w:rPr>
          <w:spacing w:val="-2"/>
        </w:rPr>
        <w:t>that</w:t>
      </w:r>
      <w:r>
        <w:rPr>
          <w:spacing w:val="-17"/>
        </w:rPr>
        <w:t> </w:t>
      </w:r>
      <w:r>
        <w:rPr>
          <w:spacing w:val="-2"/>
        </w:rPr>
        <w:t>we</w:t>
      </w:r>
      <w:r>
        <w:rPr>
          <w:spacing w:val="-15"/>
        </w:rPr>
        <w:t> </w:t>
      </w:r>
      <w:r>
        <w:rPr>
          <w:spacing w:val="-2"/>
        </w:rPr>
        <w:t>will</w:t>
      </w:r>
      <w:r>
        <w:rPr>
          <w:spacing w:val="-15"/>
        </w:rPr>
        <w:t> </w:t>
      </w:r>
      <w:r>
        <w:rPr>
          <w:spacing w:val="-2"/>
        </w:rPr>
        <w:t>not</w:t>
      </w:r>
      <w:r>
        <w:rPr>
          <w:spacing w:val="-13"/>
        </w:rPr>
        <w:t> </w:t>
      </w:r>
      <w:r>
        <w:rPr>
          <w:spacing w:val="-2"/>
        </w:rPr>
        <w:t>necessarily</w:t>
      </w:r>
      <w:r>
        <w:rPr>
          <w:spacing w:val="-12"/>
        </w:rPr>
        <w:t> </w:t>
      </w:r>
      <w:r>
        <w:rPr>
          <w:spacing w:val="-2"/>
        </w:rPr>
        <w:t>endow </w:t>
      </w:r>
      <w:r>
        <w:rPr/>
        <w:t>the hypothetical purchaser and vendor with the actual characteristics of any parties.</w:t>
      </w:r>
    </w:p>
    <w:p>
      <w:pPr>
        <w:pStyle w:val="BodyText"/>
        <w:spacing w:line="249" w:lineRule="auto" w:before="116"/>
        <w:ind w:left="345" w:right="79"/>
        <w:jc w:val="both"/>
      </w:pPr>
      <w:r>
        <w:rPr/>
        <w:t>By its nature, valuation work cannot be regarded as an exact science and the conclusions arrived at will of necessity be subjective and dependent on the exercise of individual judgment.</w:t>
      </w:r>
    </w:p>
    <w:p>
      <w:pPr>
        <w:pStyle w:val="Heading2"/>
        <w:spacing w:before="110"/>
      </w:pPr>
      <w:r>
        <w:rPr>
          <w:spacing w:val="-4"/>
        </w:rPr>
        <w:t>Summary</w:t>
      </w:r>
      <w:r>
        <w:rPr>
          <w:spacing w:val="-2"/>
        </w:rPr>
        <w:t> Opinion</w:t>
      </w:r>
    </w:p>
    <w:p>
      <w:pPr>
        <w:spacing w:line="252" w:lineRule="auto" w:before="122"/>
        <w:ind w:left="345" w:right="0" w:firstLine="0"/>
        <w:jc w:val="left"/>
        <w:rPr>
          <w:rFonts w:ascii="Tahoma" w:hAnsi="Tahoma"/>
          <w:b/>
          <w:sz w:val="22"/>
        </w:rPr>
      </w:pPr>
      <w:r>
        <w:rPr>
          <w:sz w:val="22"/>
        </w:rPr>
        <w:t>On</w:t>
      </w:r>
      <w:r>
        <w:rPr>
          <w:spacing w:val="-20"/>
          <w:sz w:val="22"/>
        </w:rPr>
        <w:t> </w:t>
      </w:r>
      <w:r>
        <w:rPr>
          <w:sz w:val="22"/>
        </w:rPr>
        <w:t>the</w:t>
      </w:r>
      <w:r>
        <w:rPr>
          <w:spacing w:val="-19"/>
          <w:sz w:val="22"/>
        </w:rPr>
        <w:t> </w:t>
      </w:r>
      <w:r>
        <w:rPr>
          <w:sz w:val="22"/>
        </w:rPr>
        <w:t>basis</w:t>
      </w:r>
      <w:r>
        <w:rPr>
          <w:spacing w:val="-19"/>
          <w:sz w:val="22"/>
        </w:rPr>
        <w:t> </w:t>
      </w:r>
      <w:r>
        <w:rPr>
          <w:sz w:val="22"/>
        </w:rPr>
        <w:t>of</w:t>
      </w:r>
      <w:r>
        <w:rPr>
          <w:spacing w:val="-20"/>
          <w:sz w:val="22"/>
        </w:rPr>
        <w:t> </w:t>
      </w:r>
      <w:r>
        <w:rPr>
          <w:sz w:val="22"/>
        </w:rPr>
        <w:t>the</w:t>
      </w:r>
      <w:r>
        <w:rPr>
          <w:spacing w:val="-19"/>
          <w:sz w:val="22"/>
        </w:rPr>
        <w:t> </w:t>
      </w:r>
      <w:r>
        <w:rPr>
          <w:sz w:val="22"/>
        </w:rPr>
        <w:t>information</w:t>
      </w:r>
      <w:r>
        <w:rPr>
          <w:spacing w:val="-18"/>
          <w:sz w:val="22"/>
        </w:rPr>
        <w:t> </w:t>
      </w:r>
      <w:r>
        <w:rPr>
          <w:sz w:val="22"/>
        </w:rPr>
        <w:t>available</w:t>
      </w:r>
      <w:r>
        <w:rPr>
          <w:spacing w:val="-19"/>
          <w:sz w:val="22"/>
        </w:rPr>
        <w:t> </w:t>
      </w:r>
      <w:r>
        <w:rPr>
          <w:sz w:val="22"/>
        </w:rPr>
        <w:t>to</w:t>
      </w:r>
      <w:r>
        <w:rPr>
          <w:spacing w:val="-18"/>
          <w:sz w:val="22"/>
        </w:rPr>
        <w:t> </w:t>
      </w:r>
      <w:r>
        <w:rPr>
          <w:sz w:val="22"/>
        </w:rPr>
        <w:t>us,</w:t>
      </w:r>
      <w:r>
        <w:rPr>
          <w:spacing w:val="-18"/>
          <w:sz w:val="22"/>
        </w:rPr>
        <w:t> </w:t>
      </w:r>
      <w:r>
        <w:rPr>
          <w:sz w:val="22"/>
        </w:rPr>
        <w:t>and</w:t>
      </w:r>
      <w:r>
        <w:rPr>
          <w:spacing w:val="-20"/>
          <w:sz w:val="22"/>
        </w:rPr>
        <w:t> </w:t>
      </w:r>
      <w:r>
        <w:rPr>
          <w:sz w:val="22"/>
        </w:rPr>
        <w:t>our</w:t>
      </w:r>
      <w:r>
        <w:rPr>
          <w:spacing w:val="-19"/>
          <w:sz w:val="22"/>
        </w:rPr>
        <w:t> </w:t>
      </w:r>
      <w:r>
        <w:rPr>
          <w:sz w:val="22"/>
        </w:rPr>
        <w:t>own</w:t>
      </w:r>
      <w:r>
        <w:rPr>
          <w:spacing w:val="-18"/>
          <w:sz w:val="22"/>
        </w:rPr>
        <w:t> </w:t>
      </w:r>
      <w:r>
        <w:rPr>
          <w:sz w:val="22"/>
        </w:rPr>
        <w:t>research</w:t>
      </w:r>
      <w:r>
        <w:rPr>
          <w:spacing w:val="-17"/>
          <w:sz w:val="22"/>
        </w:rPr>
        <w:t> </w:t>
      </w:r>
      <w:r>
        <w:rPr>
          <w:sz w:val="22"/>
        </w:rPr>
        <w:t>into</w:t>
      </w:r>
      <w:r>
        <w:rPr>
          <w:spacing w:val="-15"/>
          <w:sz w:val="22"/>
        </w:rPr>
        <w:t> </w:t>
      </w:r>
      <w:r>
        <w:rPr>
          <w:sz w:val="22"/>
        </w:rPr>
        <w:t>the</w:t>
      </w:r>
      <w:r>
        <w:rPr>
          <w:spacing w:val="-20"/>
          <w:sz w:val="22"/>
        </w:rPr>
        <w:t> </w:t>
      </w:r>
      <w:r>
        <w:rPr>
          <w:sz w:val="22"/>
        </w:rPr>
        <w:t>market,</w:t>
      </w:r>
      <w:r>
        <w:rPr>
          <w:spacing w:val="-23"/>
          <w:sz w:val="22"/>
        </w:rPr>
        <w:t> </w:t>
      </w:r>
      <w:r>
        <w:rPr>
          <w:rFonts w:ascii="Tahoma" w:hAnsi="Tahoma"/>
          <w:b/>
          <w:sz w:val="22"/>
        </w:rPr>
        <w:t>we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are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of</w:t>
      </w:r>
      <w:r>
        <w:rPr>
          <w:rFonts w:ascii="Tahoma" w:hAnsi="Tahoma"/>
          <w:b/>
          <w:spacing w:val="-3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opinion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as</w:t>
      </w:r>
      <w:r>
        <w:rPr>
          <w:rFonts w:ascii="Tahoma" w:hAnsi="Tahoma"/>
          <w:b/>
          <w:spacing w:val="-3"/>
          <w:sz w:val="22"/>
        </w:rPr>
        <w:t> </w:t>
      </w:r>
      <w:r>
        <w:rPr>
          <w:rFonts w:ascii="Tahoma" w:hAnsi="Tahoma"/>
          <w:b/>
          <w:sz w:val="22"/>
        </w:rPr>
        <w:t>at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17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March 2025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z w:val="22"/>
        </w:rPr>
        <w:t>total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Market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Value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of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Project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assuming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forecasts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provided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to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us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are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z w:val="22"/>
        </w:rPr>
        <w:t>executed,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was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£27.5m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as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made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up:</w:t>
      </w:r>
    </w:p>
    <w:p>
      <w:pPr>
        <w:pStyle w:val="ListParagraph"/>
        <w:numPr>
          <w:ilvl w:val="0"/>
          <w:numId w:val="2"/>
        </w:numPr>
        <w:tabs>
          <w:tab w:pos="1022" w:val="left" w:leader="none"/>
        </w:tabs>
        <w:spacing w:line="240" w:lineRule="auto" w:before="221" w:after="0"/>
        <w:ind w:left="1022" w:right="0" w:hanging="339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pacing w:val="-8"/>
          <w:sz w:val="22"/>
        </w:rPr>
        <w:t>£18.8m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pacing w:val="-8"/>
          <w:sz w:val="22"/>
        </w:rPr>
        <w:t>for</w:t>
      </w:r>
      <w:r>
        <w:rPr>
          <w:rFonts w:ascii="Tahoma" w:hAnsi="Tahoma"/>
          <w:b/>
          <w:spacing w:val="-4"/>
          <w:sz w:val="22"/>
        </w:rPr>
        <w:t> </w:t>
      </w:r>
      <w:r>
        <w:rPr>
          <w:rFonts w:ascii="Tahoma" w:hAnsi="Tahoma"/>
          <w:b/>
          <w:spacing w:val="-8"/>
          <w:sz w:val="22"/>
        </w:rPr>
        <w:t>the</w:t>
      </w:r>
      <w:r>
        <w:rPr>
          <w:rFonts w:ascii="Tahoma" w:hAnsi="Tahoma"/>
          <w:b/>
          <w:spacing w:val="-4"/>
          <w:sz w:val="22"/>
        </w:rPr>
        <w:t> </w:t>
      </w:r>
      <w:r>
        <w:rPr>
          <w:rFonts w:ascii="Tahoma" w:hAnsi="Tahoma"/>
          <w:b/>
          <w:spacing w:val="-8"/>
          <w:sz w:val="22"/>
        </w:rPr>
        <w:t>forestry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pacing w:val="-8"/>
          <w:sz w:val="22"/>
        </w:rPr>
        <w:t>estate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pacing w:val="-8"/>
          <w:sz w:val="22"/>
        </w:rPr>
        <w:t>project</w:t>
      </w:r>
    </w:p>
    <w:p>
      <w:pPr>
        <w:pStyle w:val="ListParagraph"/>
        <w:numPr>
          <w:ilvl w:val="0"/>
          <w:numId w:val="2"/>
        </w:numPr>
        <w:tabs>
          <w:tab w:pos="1022" w:val="left" w:leader="none"/>
        </w:tabs>
        <w:spacing w:line="240" w:lineRule="auto" w:before="234" w:after="0"/>
        <w:ind w:left="1022" w:right="0" w:hanging="339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pacing w:val="-8"/>
          <w:sz w:val="22"/>
        </w:rPr>
        <w:t>£8.7m</w:t>
      </w:r>
      <w:r>
        <w:rPr>
          <w:rFonts w:ascii="Tahoma" w:hAnsi="Tahoma"/>
          <w:b/>
          <w:spacing w:val="-1"/>
          <w:sz w:val="22"/>
        </w:rPr>
        <w:t> </w:t>
      </w:r>
      <w:r>
        <w:rPr>
          <w:rFonts w:ascii="Tahoma" w:hAnsi="Tahoma"/>
          <w:b/>
          <w:spacing w:val="-8"/>
          <w:sz w:val="22"/>
        </w:rPr>
        <w:t>investment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pacing w:val="-8"/>
          <w:sz w:val="22"/>
        </w:rPr>
        <w:t>in</w:t>
      </w:r>
      <w:r>
        <w:rPr>
          <w:rFonts w:ascii="Tahoma" w:hAnsi="Tahoma"/>
          <w:b/>
          <w:spacing w:val="3"/>
          <w:sz w:val="22"/>
        </w:rPr>
        <w:t> </w:t>
      </w:r>
      <w:r>
        <w:rPr>
          <w:rFonts w:ascii="Tahoma" w:hAnsi="Tahoma"/>
          <w:b/>
          <w:spacing w:val="-8"/>
          <w:sz w:val="22"/>
        </w:rPr>
        <w:t>gilts</w:t>
      </w:r>
    </w:p>
    <w:p>
      <w:pPr>
        <w:pStyle w:val="ListParagraph"/>
        <w:spacing w:after="0" w:line="240" w:lineRule="auto"/>
        <w:jc w:val="left"/>
        <w:rPr>
          <w:rFonts w:ascii="Tahoma" w:hAnsi="Tahoma"/>
          <w:b/>
          <w:sz w:val="22"/>
        </w:rPr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1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spacing w:val="-8"/>
        </w:rPr>
        <w:t>INFORMATION</w:t>
      </w:r>
      <w:r>
        <w:rPr>
          <w:spacing w:val="-6"/>
        </w:rPr>
        <w:t> </w:t>
      </w:r>
      <w:r>
        <w:rPr>
          <w:spacing w:val="-8"/>
        </w:rPr>
        <w:t>AND</w:t>
      </w:r>
      <w:r>
        <w:rPr>
          <w:spacing w:val="-5"/>
        </w:rPr>
        <w:t> </w:t>
      </w:r>
      <w:r>
        <w:rPr>
          <w:spacing w:val="-8"/>
        </w:rPr>
        <w:t>CAVEATS</w:t>
      </w:r>
    </w:p>
    <w:p>
      <w:pPr>
        <w:pStyle w:val="Heading2"/>
        <w:spacing w:before="181"/>
      </w:pPr>
      <w:r>
        <w:rPr>
          <w:spacing w:val="-2"/>
        </w:rPr>
        <w:t>Information</w:t>
      </w:r>
    </w:p>
    <w:p>
      <w:pPr>
        <w:pStyle w:val="BodyText"/>
        <w:spacing w:before="235"/>
        <w:ind w:left="345"/>
      </w:pP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following</w:t>
      </w:r>
      <w:r>
        <w:rPr>
          <w:spacing w:val="-13"/>
        </w:rPr>
        <w:t> </w:t>
      </w:r>
      <w:r>
        <w:rPr>
          <w:spacing w:val="-2"/>
        </w:rPr>
        <w:t>information</w:t>
      </w:r>
      <w:r>
        <w:rPr>
          <w:spacing w:val="-16"/>
        </w:rPr>
        <w:t> </w:t>
      </w:r>
      <w:r>
        <w:rPr>
          <w:spacing w:val="-2"/>
        </w:rPr>
        <w:t>has</w:t>
      </w:r>
      <w:r>
        <w:rPr>
          <w:spacing w:val="-12"/>
        </w:rPr>
        <w:t> </w:t>
      </w:r>
      <w:r>
        <w:rPr>
          <w:spacing w:val="-2"/>
        </w:rPr>
        <w:t>been</w:t>
      </w:r>
      <w:r>
        <w:rPr>
          <w:spacing w:val="-10"/>
        </w:rPr>
        <w:t> </w:t>
      </w:r>
      <w:r>
        <w:rPr>
          <w:spacing w:val="-2"/>
        </w:rPr>
        <w:t>provided</w:t>
      </w:r>
      <w:r>
        <w:rPr>
          <w:spacing w:val="-12"/>
        </w:rPr>
        <w:t> </w:t>
      </w:r>
      <w:r>
        <w:rPr>
          <w:spacing w:val="-2"/>
        </w:rPr>
        <w:t>to</w:t>
      </w:r>
      <w:r>
        <w:rPr>
          <w:spacing w:val="-9"/>
        </w:rPr>
        <w:t> </w:t>
      </w:r>
      <w:r>
        <w:rPr>
          <w:spacing w:val="-2"/>
        </w:rPr>
        <w:t>us</w:t>
      </w:r>
      <w:r>
        <w:rPr>
          <w:spacing w:val="-14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forms</w:t>
      </w:r>
      <w:r>
        <w:rPr>
          <w:spacing w:val="-14"/>
        </w:rPr>
        <w:t> </w:t>
      </w:r>
      <w:r>
        <w:rPr>
          <w:spacing w:val="-2"/>
        </w:rPr>
        <w:t>the</w:t>
      </w:r>
      <w:r>
        <w:rPr>
          <w:spacing w:val="-16"/>
        </w:rPr>
        <w:t> </w:t>
      </w:r>
      <w:r>
        <w:rPr>
          <w:spacing w:val="-2"/>
        </w:rPr>
        <w:t>basis</w:t>
      </w:r>
      <w:r>
        <w:rPr>
          <w:spacing w:val="-13"/>
        </w:rPr>
        <w:t> </w:t>
      </w:r>
      <w:r>
        <w:rPr>
          <w:spacing w:val="-2"/>
        </w:rPr>
        <w:t>of</w:t>
      </w:r>
      <w:r>
        <w:rPr>
          <w:spacing w:val="-13"/>
        </w:rPr>
        <w:t> </w:t>
      </w:r>
      <w:r>
        <w:rPr>
          <w:spacing w:val="-2"/>
        </w:rPr>
        <w:t>our</w:t>
      </w:r>
      <w:r>
        <w:rPr>
          <w:spacing w:val="-15"/>
        </w:rPr>
        <w:t> </w:t>
      </w:r>
      <w:r>
        <w:rPr>
          <w:spacing w:val="-2"/>
        </w:rPr>
        <w:t>valuation: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237" w:after="0"/>
        <w:ind w:left="1676" w:right="0" w:hanging="316"/>
        <w:jc w:val="left"/>
        <w:rPr>
          <w:sz w:val="22"/>
        </w:rPr>
      </w:pPr>
      <w:r>
        <w:rPr>
          <w:sz w:val="22"/>
        </w:rPr>
        <w:t>Trees4Good</w:t>
      </w:r>
      <w:r>
        <w:rPr>
          <w:spacing w:val="13"/>
          <w:sz w:val="22"/>
        </w:rPr>
        <w:t> </w:t>
      </w:r>
      <w:r>
        <w:rPr>
          <w:sz w:val="22"/>
        </w:rPr>
        <w:t>company</w:t>
      </w:r>
      <w:r>
        <w:rPr>
          <w:spacing w:val="14"/>
          <w:sz w:val="22"/>
        </w:rPr>
        <w:t> </w:t>
      </w:r>
      <w:r>
        <w:rPr>
          <w:spacing w:val="-2"/>
          <w:sz w:val="22"/>
        </w:rPr>
        <w:t>overview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6" w:after="0"/>
        <w:ind w:left="1676" w:right="0" w:hanging="316"/>
        <w:jc w:val="left"/>
        <w:rPr>
          <w:sz w:val="22"/>
        </w:rPr>
      </w:pPr>
      <w:r>
        <w:rPr>
          <w:spacing w:val="-6"/>
          <w:sz w:val="22"/>
        </w:rPr>
        <w:t>Forestry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statistics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2024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report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issued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by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Forest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Research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dated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26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September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2024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10" w:after="0"/>
        <w:ind w:left="1676" w:right="0" w:hanging="316"/>
        <w:jc w:val="left"/>
        <w:rPr>
          <w:sz w:val="22"/>
        </w:rPr>
      </w:pPr>
      <w:r>
        <w:rPr>
          <w:spacing w:val="-6"/>
          <w:sz w:val="22"/>
        </w:rPr>
        <w:t>Summary of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various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facts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and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fiscal aspects</w:t>
      </w:r>
      <w:r>
        <w:rPr>
          <w:spacing w:val="-5"/>
          <w:sz w:val="22"/>
        </w:rPr>
        <w:t> </w:t>
      </w:r>
      <w:r>
        <w:rPr>
          <w:spacing w:val="-6"/>
          <w:sz w:val="22"/>
        </w:rPr>
        <w:t>of the</w:t>
      </w:r>
      <w:r>
        <w:rPr>
          <w:spacing w:val="-10"/>
          <w:sz w:val="22"/>
        </w:rPr>
        <w:t> </w:t>
      </w:r>
      <w:r>
        <w:rPr>
          <w:spacing w:val="-6"/>
          <w:sz w:val="22"/>
        </w:rPr>
        <w:t>Forestry</w:t>
      </w:r>
      <w:r>
        <w:rPr>
          <w:spacing w:val="-8"/>
          <w:sz w:val="22"/>
        </w:rPr>
        <w:t> </w:t>
      </w:r>
      <w:r>
        <w:rPr>
          <w:spacing w:val="-6"/>
          <w:sz w:val="22"/>
        </w:rPr>
        <w:t>Industry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by</w:t>
      </w:r>
      <w:r>
        <w:rPr>
          <w:spacing w:val="-9"/>
          <w:sz w:val="22"/>
        </w:rPr>
        <w:t> </w:t>
      </w:r>
      <w:r>
        <w:rPr>
          <w:spacing w:val="-6"/>
          <w:sz w:val="22"/>
        </w:rPr>
        <w:t>Brent Property</w:t>
      </w:r>
      <w:r>
        <w:rPr>
          <w:spacing w:val="-4"/>
          <w:sz w:val="22"/>
        </w:rPr>
        <w:t> </w:t>
      </w:r>
      <w:r>
        <w:rPr>
          <w:spacing w:val="-6"/>
          <w:sz w:val="22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11" w:after="0"/>
        <w:ind w:left="1676" w:right="0" w:hanging="316"/>
        <w:jc w:val="left"/>
        <w:rPr>
          <w:sz w:val="22"/>
        </w:rPr>
      </w:pPr>
      <w:r>
        <w:rPr>
          <w:spacing w:val="-4"/>
          <w:sz w:val="22"/>
        </w:rPr>
        <w:t>Detailed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information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on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Craigmill</w:t>
      </w:r>
      <w:r>
        <w:rPr>
          <w:spacing w:val="-10"/>
          <w:sz w:val="22"/>
        </w:rPr>
        <w:t> </w:t>
      </w:r>
      <w:r>
        <w:rPr>
          <w:spacing w:val="-4"/>
          <w:sz w:val="22"/>
        </w:rPr>
        <w:t>Forest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Estate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issued</w:t>
      </w:r>
      <w:r>
        <w:rPr>
          <w:spacing w:val="-8"/>
          <w:sz w:val="22"/>
        </w:rPr>
        <w:t> </w:t>
      </w:r>
      <w:r>
        <w:rPr>
          <w:spacing w:val="-4"/>
          <w:sz w:val="22"/>
        </w:rPr>
        <w:t>by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Goldcrest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Land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&amp;</w:t>
      </w:r>
      <w:r>
        <w:rPr>
          <w:spacing w:val="-9"/>
          <w:sz w:val="22"/>
        </w:rPr>
        <w:t> </w:t>
      </w:r>
      <w:r>
        <w:rPr>
          <w:spacing w:val="-4"/>
          <w:sz w:val="22"/>
        </w:rPr>
        <w:t>Forestry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Group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6" w:after="0"/>
        <w:ind w:left="1676" w:right="0" w:hanging="316"/>
        <w:jc w:val="left"/>
        <w:rPr>
          <w:sz w:val="22"/>
        </w:rPr>
      </w:pPr>
      <w:r>
        <w:rPr>
          <w:spacing w:val="-4"/>
          <w:sz w:val="22"/>
        </w:rPr>
        <w:t>Trees4Good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business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plan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detailing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share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offering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to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investors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and background</w:t>
      </w:r>
    </w:p>
    <w:p>
      <w:pPr>
        <w:pStyle w:val="ListParagraph"/>
        <w:numPr>
          <w:ilvl w:val="1"/>
          <w:numId w:val="1"/>
        </w:numPr>
        <w:tabs>
          <w:tab w:pos="1676" w:val="left" w:leader="none"/>
        </w:tabs>
        <w:spacing w:line="240" w:lineRule="auto" w:before="11" w:after="0"/>
        <w:ind w:left="1676" w:right="0" w:hanging="316"/>
        <w:jc w:val="left"/>
        <w:rPr>
          <w:sz w:val="22"/>
        </w:rPr>
      </w:pPr>
      <w:r>
        <w:rPr>
          <w:spacing w:val="-2"/>
          <w:sz w:val="22"/>
        </w:rPr>
        <w:t>Trees4Good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forecasts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covering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Year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1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to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Year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10,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including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monthly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breakdown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first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36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months</w:t>
      </w:r>
    </w:p>
    <w:p>
      <w:pPr>
        <w:pStyle w:val="BodyText"/>
        <w:spacing w:before="17"/>
      </w:pPr>
    </w:p>
    <w:p>
      <w:pPr>
        <w:pStyle w:val="BodyText"/>
        <w:spacing w:line="249" w:lineRule="auto"/>
        <w:ind w:left="345"/>
      </w:pPr>
      <w:r>
        <w:rPr/>
        <w:t>In addition,</w:t>
      </w:r>
      <w:r>
        <w:rPr>
          <w:spacing w:val="-1"/>
        </w:rPr>
        <w:t> </w:t>
      </w:r>
      <w:r>
        <w:rPr/>
        <w:t>we have undertaken our own</w:t>
      </w:r>
      <w:r>
        <w:rPr>
          <w:spacing w:val="-2"/>
        </w:rPr>
        <w:t> </w:t>
      </w:r>
      <w:r>
        <w:rPr/>
        <w:t>research into comparable quoted companies and transactions based</w:t>
      </w:r>
      <w:r>
        <w:rPr>
          <w:spacing w:val="-1"/>
        </w:rPr>
        <w:t> </w:t>
      </w:r>
      <w:r>
        <w:rPr/>
        <w:t>on publicly available information and have reviewed, exchanged e-mails and discussed the Company and Project with:</w:t>
      </w:r>
    </w:p>
    <w:p>
      <w:pPr>
        <w:pStyle w:val="Heading2"/>
        <w:tabs>
          <w:tab w:pos="3249" w:val="left" w:leader="none"/>
        </w:tabs>
        <w:spacing w:before="225"/>
        <w:ind w:left="1303"/>
      </w:pPr>
      <w:r>
        <w:rPr>
          <w:spacing w:val="-4"/>
        </w:rPr>
        <w:t>Name</w:t>
      </w:r>
      <w:r>
        <w:rPr/>
        <w:tab/>
        <w:t>Contact</w:t>
      </w:r>
      <w:r>
        <w:rPr>
          <w:spacing w:val="21"/>
        </w:rPr>
        <w:t> </w:t>
      </w:r>
      <w:r>
        <w:rPr>
          <w:spacing w:val="-2"/>
        </w:rPr>
        <w:t>details</w:t>
      </w:r>
    </w:p>
    <w:p>
      <w:pPr>
        <w:pStyle w:val="BodyText"/>
        <w:tabs>
          <w:tab w:pos="3248" w:val="left" w:leader="none"/>
        </w:tabs>
        <w:spacing w:before="235"/>
        <w:ind w:left="1303"/>
      </w:pPr>
      <w:r>
        <w:rPr>
          <w:w w:val="90"/>
        </w:rPr>
        <w:t>Brent</w:t>
      </w:r>
      <w:r>
        <w:rPr>
          <w:spacing w:val="1"/>
        </w:rPr>
        <w:t> </w:t>
      </w:r>
      <w:r>
        <w:rPr>
          <w:spacing w:val="-4"/>
        </w:rPr>
        <w:t>Bobo</w:t>
      </w:r>
      <w:r>
        <w:rPr/>
        <w:tab/>
      </w:r>
      <w:hyperlink r:id="rId13">
        <w:r>
          <w:rPr>
            <w:spacing w:val="-2"/>
          </w:rPr>
          <w:t>mrbobo@btinternet.com</w:t>
        </w:r>
      </w:hyperlink>
    </w:p>
    <w:p>
      <w:pPr>
        <w:pStyle w:val="BodyText"/>
        <w:spacing w:before="9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BodyText"/>
        <w:spacing w:line="448" w:lineRule="auto" w:before="106"/>
        <w:ind w:left="1303"/>
      </w:pPr>
      <w:r>
        <w:rPr/>
        <w:t>Kevin</w:t>
      </w:r>
      <w:r>
        <w:rPr>
          <w:spacing w:val="-20"/>
        </w:rPr>
        <w:t> </w:t>
      </w:r>
      <w:r>
        <w:rPr/>
        <w:t>Neale Alex Neale</w:t>
      </w:r>
    </w:p>
    <w:p>
      <w:pPr>
        <w:pStyle w:val="BodyText"/>
        <w:spacing w:line="448" w:lineRule="auto" w:before="106"/>
        <w:ind w:left="591" w:right="8103"/>
      </w:pPr>
      <w:r>
        <w:rPr/>
        <w:br w:type="column"/>
      </w:r>
      <w:hyperlink r:id="rId14">
        <w:r>
          <w:rPr>
            <w:spacing w:val="-4"/>
          </w:rPr>
          <w:t>kevin@trees4good.co.uk</w:t>
        </w:r>
      </w:hyperlink>
      <w:r>
        <w:rPr>
          <w:spacing w:val="-4"/>
        </w:rPr>
        <w:t> </w:t>
      </w:r>
      <w:hyperlink r:id="rId15">
        <w:r>
          <w:rPr>
            <w:spacing w:val="-2"/>
          </w:rPr>
          <w:t>alex@trees4good.co.uk</w:t>
        </w:r>
      </w:hyperlink>
    </w:p>
    <w:p>
      <w:pPr>
        <w:pStyle w:val="BodyText"/>
        <w:spacing w:after="0" w:line="448" w:lineRule="auto"/>
        <w:sectPr>
          <w:type w:val="continuous"/>
          <w:pgSz w:w="15840" w:h="12240" w:orient="landscape"/>
          <w:pgMar w:header="1255" w:footer="1419" w:top="1260" w:bottom="280" w:left="720" w:right="1080"/>
          <w:cols w:num="2" w:equalWidth="0">
            <w:col w:w="2616" w:space="40"/>
            <w:col w:w="11384"/>
          </w:cols>
        </w:sectPr>
      </w:pPr>
    </w:p>
    <w:p>
      <w:pPr>
        <w:pStyle w:val="Heading2"/>
        <w:spacing w:before="235"/>
      </w:pPr>
      <w:r>
        <w:rPr>
          <w:spacing w:val="-2"/>
        </w:rPr>
        <w:t>Caveats</w:t>
      </w:r>
    </w:p>
    <w:p>
      <w:pPr>
        <w:pStyle w:val="BodyText"/>
        <w:spacing w:line="249" w:lineRule="auto" w:before="235"/>
        <w:ind w:left="345" w:right="80"/>
        <w:jc w:val="both"/>
      </w:pPr>
      <w:r>
        <w:rPr/>
        <w:t>We have not performed any work in the nature of an audit on any of the information that has been made available to us. Accordingly,</w:t>
      </w:r>
      <w:r>
        <w:rPr>
          <w:spacing w:val="-4"/>
        </w:rPr>
        <w:t> </w:t>
      </w:r>
      <w:r>
        <w:rPr/>
        <w:t>we</w:t>
      </w:r>
      <w:r>
        <w:rPr>
          <w:spacing w:val="-5"/>
        </w:rPr>
        <w:t> </w:t>
      </w:r>
      <w:r>
        <w:rPr/>
        <w:t>assume</w:t>
      </w:r>
      <w:r>
        <w:rPr>
          <w:spacing w:val="-5"/>
        </w:rPr>
        <w:t> </w:t>
      </w:r>
      <w:r>
        <w:rPr/>
        <w:t>no</w:t>
      </w:r>
      <w:r>
        <w:rPr>
          <w:spacing w:val="-8"/>
        </w:rPr>
        <w:t> </w:t>
      </w:r>
      <w:r>
        <w:rPr/>
        <w:t>responsibility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make</w:t>
      </w:r>
      <w:r>
        <w:rPr>
          <w:spacing w:val="-7"/>
        </w:rPr>
        <w:t> </w:t>
      </w:r>
      <w:r>
        <w:rPr/>
        <w:t>no</w:t>
      </w:r>
      <w:r>
        <w:rPr>
          <w:spacing w:val="-6"/>
        </w:rPr>
        <w:t> </w:t>
      </w:r>
      <w:r>
        <w:rPr/>
        <w:t>representations</w:t>
      </w:r>
      <w:r>
        <w:rPr>
          <w:spacing w:val="-5"/>
        </w:rPr>
        <w:t> </w:t>
      </w:r>
      <w:r>
        <w:rPr/>
        <w:t>with</w:t>
      </w:r>
      <w:r>
        <w:rPr>
          <w:spacing w:val="-2"/>
        </w:rPr>
        <w:t> </w:t>
      </w:r>
      <w:r>
        <w:rPr/>
        <w:t>regard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accuracy</w:t>
      </w:r>
      <w:r>
        <w:rPr>
          <w:spacing w:val="-6"/>
        </w:rPr>
        <w:t> </w:t>
      </w:r>
      <w:r>
        <w:rPr/>
        <w:t>or</w:t>
      </w:r>
      <w:r>
        <w:rPr>
          <w:spacing w:val="-10"/>
        </w:rPr>
        <w:t> </w:t>
      </w:r>
      <w:r>
        <w:rPr/>
        <w:t>completeness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any information provided to us.</w:t>
      </w:r>
    </w:p>
    <w:p>
      <w:pPr>
        <w:pStyle w:val="BodyText"/>
        <w:spacing w:line="247" w:lineRule="auto" w:before="222"/>
        <w:ind w:left="345" w:right="79"/>
        <w:jc w:val="both"/>
      </w:pPr>
      <w:r>
        <w:rPr/>
        <w:t>Forecasts prepared by the Company relate to future events and are based on</w:t>
      </w:r>
      <w:r>
        <w:rPr>
          <w:spacing w:val="-1"/>
        </w:rPr>
        <w:t> </w:t>
      </w:r>
      <w:r>
        <w:rPr/>
        <w:t>assumptions; consequently, they cannot be relied upon to the same extent as information derived from audited accounts for completed accounting periods.</w:t>
      </w:r>
      <w:r>
        <w:rPr>
          <w:spacing w:val="40"/>
        </w:rPr>
        <w:t> </w:t>
      </w:r>
      <w:r>
        <w:rPr/>
        <w:t>The facts and assumptions that underpin the forecasts are the sole responsibility of yourselves and the Company.</w:t>
      </w:r>
      <w:r>
        <w:rPr>
          <w:spacing w:val="40"/>
        </w:rPr>
        <w:t> </w:t>
      </w:r>
      <w:r>
        <w:rPr/>
        <w:t>Whilst we may comment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these</w:t>
      </w:r>
      <w:r>
        <w:rPr>
          <w:spacing w:val="-6"/>
        </w:rPr>
        <w:t> </w:t>
      </w:r>
      <w:r>
        <w:rPr/>
        <w:t>facts and</w:t>
      </w:r>
      <w:r>
        <w:rPr>
          <w:spacing w:val="-4"/>
        </w:rPr>
        <w:t> </w:t>
      </w:r>
      <w:r>
        <w:rPr/>
        <w:t>assumptions,</w:t>
      </w:r>
      <w:r>
        <w:rPr>
          <w:spacing w:val="-2"/>
        </w:rPr>
        <w:t> </w:t>
      </w:r>
      <w:r>
        <w:rPr/>
        <w:t>we</w:t>
      </w:r>
      <w:r>
        <w:rPr>
          <w:spacing w:val="-6"/>
        </w:rPr>
        <w:t> </w:t>
      </w:r>
      <w:r>
        <w:rPr/>
        <w:t>accept</w:t>
      </w:r>
      <w:r>
        <w:rPr>
          <w:spacing w:val="-4"/>
        </w:rPr>
        <w:t> </w:t>
      </w:r>
      <w:r>
        <w:rPr/>
        <w:t>no</w:t>
      </w:r>
      <w:r>
        <w:rPr>
          <w:spacing w:val="-6"/>
        </w:rPr>
        <w:t> </w:t>
      </w:r>
      <w:r>
        <w:rPr/>
        <w:t>responsibility</w:t>
      </w:r>
      <w:r>
        <w:rPr>
          <w:spacing w:val="-2"/>
        </w:rPr>
        <w:t> </w:t>
      </w:r>
      <w:r>
        <w:rPr/>
        <w:t>for</w:t>
      </w:r>
      <w:r>
        <w:rPr>
          <w:spacing w:val="-8"/>
        </w:rPr>
        <w:t> </w:t>
      </w:r>
      <w:r>
        <w:rPr/>
        <w:t>them,</w:t>
      </w:r>
      <w:r>
        <w:rPr>
          <w:spacing w:val="-2"/>
        </w:rPr>
        <w:t> </w:t>
      </w:r>
      <w:r>
        <w:rPr/>
        <w:t>or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ultimate</w:t>
      </w:r>
      <w:r>
        <w:rPr>
          <w:spacing w:val="-6"/>
        </w:rPr>
        <w:t> </w:t>
      </w:r>
      <w:r>
        <w:rPr/>
        <w:t>accuracy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realisation</w:t>
      </w:r>
      <w:r>
        <w:rPr>
          <w:spacing w:val="-6"/>
        </w:rPr>
        <w:t> </w:t>
      </w:r>
      <w:r>
        <w:rPr/>
        <w:t>of the same.</w:t>
      </w:r>
    </w:p>
    <w:p>
      <w:pPr>
        <w:pStyle w:val="BodyText"/>
        <w:spacing w:line="249" w:lineRule="auto" w:before="231"/>
        <w:ind w:left="345" w:right="78"/>
        <w:jc w:val="both"/>
      </w:pPr>
      <w:r>
        <w:rPr/>
        <w:t>You should note that</w:t>
      </w:r>
      <w:r>
        <w:rPr>
          <w:spacing w:val="-1"/>
        </w:rPr>
        <w:t> </w:t>
      </w:r>
      <w:r>
        <w:rPr/>
        <w:t>there are usually</w:t>
      </w:r>
      <w:r>
        <w:rPr>
          <w:spacing w:val="-1"/>
        </w:rPr>
        <w:t> </w:t>
      </w:r>
      <w:r>
        <w:rPr/>
        <w:t>differences between forecast and</w:t>
      </w:r>
      <w:r>
        <w:rPr>
          <w:spacing w:val="-1"/>
        </w:rPr>
        <w:t> </w:t>
      </w:r>
      <w:r>
        <w:rPr/>
        <w:t>actual results, because</w:t>
      </w:r>
      <w:r>
        <w:rPr>
          <w:spacing w:val="-1"/>
        </w:rPr>
        <w:t> </w:t>
      </w:r>
      <w:r>
        <w:rPr/>
        <w:t>events and circumstances frequently do not occur as expected and these differences may be material.</w:t>
      </w:r>
    </w:p>
    <w:p>
      <w:pPr>
        <w:pStyle w:val="BodyText"/>
        <w:spacing w:line="249" w:lineRule="auto" w:before="224"/>
        <w:ind w:left="345" w:right="79"/>
        <w:jc w:val="both"/>
      </w:pPr>
      <w:r>
        <w:rPr/>
        <w:t>The forecasts assume that investment will be raised from investors allowing necessary funding and that key supplier relationships</w:t>
      </w:r>
      <w:r>
        <w:rPr>
          <w:spacing w:val="-20"/>
        </w:rPr>
        <w:t> </w:t>
      </w:r>
      <w:r>
        <w:rPr/>
        <w:t>will</w:t>
      </w:r>
      <w:r>
        <w:rPr>
          <w:spacing w:val="-19"/>
        </w:rPr>
        <w:t> </w:t>
      </w:r>
      <w:r>
        <w:rPr/>
        <w:t>be</w:t>
      </w:r>
      <w:r>
        <w:rPr>
          <w:spacing w:val="-19"/>
        </w:rPr>
        <w:t> </w:t>
      </w:r>
      <w:r>
        <w:rPr/>
        <w:t>executed</w:t>
      </w:r>
      <w:r>
        <w:rPr>
          <w:spacing w:val="-20"/>
        </w:rPr>
        <w:t> </w:t>
      </w:r>
      <w:r>
        <w:rPr/>
        <w:t>to</w:t>
      </w:r>
      <w:r>
        <w:rPr>
          <w:spacing w:val="-19"/>
        </w:rPr>
        <w:t> </w:t>
      </w:r>
      <w:r>
        <w:rPr/>
        <w:t>enable</w:t>
      </w:r>
      <w:r>
        <w:rPr>
          <w:spacing w:val="-20"/>
        </w:rPr>
        <w:t> </w:t>
      </w:r>
      <w:r>
        <w:rPr/>
        <w:t>the</w:t>
      </w:r>
      <w:r>
        <w:rPr>
          <w:spacing w:val="-19"/>
        </w:rPr>
        <w:t> </w:t>
      </w:r>
      <w:r>
        <w:rPr/>
        <w:t>Project</w:t>
      </w:r>
      <w:r>
        <w:rPr>
          <w:spacing w:val="-19"/>
        </w:rPr>
        <w:t> </w:t>
      </w:r>
      <w:r>
        <w:rPr/>
        <w:t>to</w:t>
      </w:r>
      <w:r>
        <w:rPr>
          <w:spacing w:val="-20"/>
        </w:rPr>
        <w:t> </w:t>
      </w:r>
      <w:r>
        <w:rPr/>
        <w:t>be</w:t>
      </w:r>
      <w:r>
        <w:rPr>
          <w:spacing w:val="-19"/>
        </w:rPr>
        <w:t> </w:t>
      </w:r>
      <w:r>
        <w:rPr/>
        <w:t>delivered.</w:t>
      </w:r>
      <w:r>
        <w:rPr>
          <w:spacing w:val="-19"/>
        </w:rPr>
        <w:t> </w:t>
      </w:r>
      <w:r>
        <w:rPr/>
        <w:t>Our</w:t>
      </w:r>
      <w:r>
        <w:rPr>
          <w:spacing w:val="-20"/>
        </w:rPr>
        <w:t> </w:t>
      </w:r>
      <w:r>
        <w:rPr/>
        <w:t>valuation</w:t>
      </w:r>
      <w:r>
        <w:rPr>
          <w:spacing w:val="-19"/>
        </w:rPr>
        <w:t> </w:t>
      </w:r>
      <w:r>
        <w:rPr/>
        <w:t>also</w:t>
      </w:r>
      <w:r>
        <w:rPr>
          <w:spacing w:val="-19"/>
        </w:rPr>
        <w:t> </w:t>
      </w:r>
      <w:r>
        <w:rPr/>
        <w:t>makes</w:t>
      </w:r>
      <w:r>
        <w:rPr>
          <w:spacing w:val="-20"/>
        </w:rPr>
        <w:t> </w:t>
      </w:r>
      <w:r>
        <w:rPr/>
        <w:t>this</w:t>
      </w:r>
      <w:r>
        <w:rPr>
          <w:spacing w:val="-19"/>
        </w:rPr>
        <w:t> </w:t>
      </w:r>
      <w:r>
        <w:rPr/>
        <w:t>assumption</w:t>
      </w:r>
      <w:r>
        <w:rPr>
          <w:spacing w:val="-19"/>
        </w:rPr>
        <w:t> </w:t>
      </w:r>
      <w:r>
        <w:rPr/>
        <w:t>and</w:t>
      </w:r>
      <w:r>
        <w:rPr>
          <w:spacing w:val="-20"/>
        </w:rPr>
        <w:t> </w:t>
      </w:r>
      <w:r>
        <w:rPr/>
        <w:t>should</w:t>
      </w:r>
      <w:r>
        <w:rPr>
          <w:spacing w:val="-19"/>
        </w:rPr>
        <w:t> </w:t>
      </w:r>
      <w:r>
        <w:rPr/>
        <w:t>this assumption</w:t>
      </w:r>
      <w:r>
        <w:rPr>
          <w:spacing w:val="-3"/>
        </w:rPr>
        <w:t> </w:t>
      </w:r>
      <w:r>
        <w:rPr/>
        <w:t>prove</w:t>
      </w:r>
      <w:r>
        <w:rPr>
          <w:spacing w:val="-7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invalid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any</w:t>
      </w:r>
      <w:r>
        <w:rPr>
          <w:spacing w:val="-1"/>
        </w:rPr>
        <w:t> </w:t>
      </w:r>
      <w:r>
        <w:rPr/>
        <w:t>reason</w:t>
      </w:r>
      <w:r>
        <w:rPr>
          <w:spacing w:val="-3"/>
        </w:rPr>
        <w:t> </w:t>
      </w:r>
      <w:r>
        <w:rPr/>
        <w:t>the</w:t>
      </w:r>
      <w:r>
        <w:rPr>
          <w:spacing w:val="-7"/>
        </w:rPr>
        <w:t> </w:t>
      </w:r>
      <w:r>
        <w:rPr/>
        <w:t>valuation</w:t>
      </w:r>
      <w:r>
        <w:rPr>
          <w:spacing w:val="-3"/>
        </w:rPr>
        <w:t> </w:t>
      </w:r>
      <w:r>
        <w:rPr/>
        <w:t>would</w:t>
      </w:r>
      <w:r>
        <w:rPr>
          <w:spacing w:val="-1"/>
        </w:rPr>
        <w:t> </w:t>
      </w:r>
      <w:r>
        <w:rPr/>
        <w:t>need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be</w:t>
      </w:r>
      <w:r>
        <w:rPr>
          <w:spacing w:val="-3"/>
        </w:rPr>
        <w:t> </w:t>
      </w:r>
      <w:r>
        <w:rPr/>
        <w:t>reduced based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different</w:t>
      </w:r>
      <w:r>
        <w:rPr>
          <w:spacing w:val="-1"/>
        </w:rPr>
        <w:t> </w:t>
      </w:r>
      <w:r>
        <w:rPr/>
        <w:t>assumptions</w:t>
      </w:r>
      <w:r>
        <w:rPr>
          <w:spacing w:val="-1"/>
        </w:rPr>
        <w:t> </w:t>
      </w:r>
      <w:r>
        <w:rPr/>
        <w:t>and the valuation reduction could be significant.</w:t>
      </w:r>
    </w:p>
    <w:p>
      <w:pPr>
        <w:pStyle w:val="BodyText"/>
        <w:spacing w:line="249" w:lineRule="auto" w:before="220"/>
        <w:ind w:left="345" w:right="78"/>
        <w:jc w:val="both"/>
      </w:pPr>
      <w:r>
        <w:rPr/>
        <w:t>The valuation date is at 17 March 2025 and therefore is at a date impacted by the economic uncertainty and market disruption</w:t>
      </w:r>
      <w:r>
        <w:rPr>
          <w:spacing w:val="-10"/>
        </w:rPr>
        <w:t> </w:t>
      </w:r>
      <w:r>
        <w:rPr/>
        <w:t>caused</w:t>
      </w:r>
      <w:r>
        <w:rPr>
          <w:spacing w:val="-9"/>
        </w:rPr>
        <w:t> </w:t>
      </w:r>
      <w:r>
        <w:rPr/>
        <w:t>by</w:t>
      </w:r>
      <w:r>
        <w:rPr>
          <w:spacing w:val="-14"/>
        </w:rPr>
        <w:t> </w:t>
      </w:r>
      <w:r>
        <w:rPr/>
        <w:t>Russo-Ukrainian</w:t>
      </w:r>
      <w:r>
        <w:rPr>
          <w:spacing w:val="-8"/>
        </w:rPr>
        <w:t> </w:t>
      </w:r>
      <w:r>
        <w:rPr/>
        <w:t>war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the</w:t>
      </w:r>
      <w:r>
        <w:rPr>
          <w:spacing w:val="-10"/>
        </w:rPr>
        <w:t> </w:t>
      </w:r>
      <w:r>
        <w:rPr/>
        <w:t>cost</w:t>
      </w:r>
      <w:r>
        <w:rPr>
          <w:spacing w:val="-8"/>
        </w:rPr>
        <w:t> </w:t>
      </w:r>
      <w:r>
        <w:rPr/>
        <w:t>of</w:t>
      </w:r>
      <w:r>
        <w:rPr>
          <w:spacing w:val="-12"/>
        </w:rPr>
        <w:t> </w:t>
      </w:r>
      <w:r>
        <w:rPr/>
        <w:t>living</w:t>
      </w:r>
      <w:r>
        <w:rPr>
          <w:spacing w:val="-10"/>
        </w:rPr>
        <w:t> </w:t>
      </w:r>
      <w:r>
        <w:rPr/>
        <w:t>crisis.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impact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these</w:t>
      </w:r>
      <w:r>
        <w:rPr>
          <w:spacing w:val="-8"/>
        </w:rPr>
        <w:t> </w:t>
      </w:r>
      <w:r>
        <w:rPr/>
        <w:t>factors</w:t>
      </w:r>
      <w:r>
        <w:rPr>
          <w:spacing w:val="-12"/>
        </w:rPr>
        <w:t> </w:t>
      </w:r>
      <w:r>
        <w:rPr/>
        <w:t>on</w:t>
      </w:r>
      <w:r>
        <w:rPr>
          <w:spacing w:val="-10"/>
        </w:rPr>
        <w:t> </w:t>
      </w:r>
      <w:r>
        <w:rPr/>
        <w:t>company</w:t>
      </w:r>
      <w:r>
        <w:rPr>
          <w:spacing w:val="-8"/>
        </w:rPr>
        <w:t> </w:t>
      </w:r>
      <w:r>
        <w:rPr/>
        <w:t>valuations</w:t>
      </w:r>
      <w:r>
        <w:rPr>
          <w:spacing w:val="-12"/>
        </w:rPr>
        <w:t> </w:t>
      </w:r>
      <w:r>
        <w:rPr/>
        <w:t>is currently uncertain.</w:t>
      </w:r>
    </w:p>
    <w:p>
      <w:pPr>
        <w:pStyle w:val="BodyText"/>
        <w:spacing w:line="249" w:lineRule="auto" w:before="221"/>
        <w:ind w:left="345" w:right="78"/>
        <w:jc w:val="both"/>
      </w:pPr>
      <w:r>
        <w:rPr/>
        <w:t>As</w:t>
      </w:r>
      <w:r>
        <w:rPr>
          <w:spacing w:val="-9"/>
        </w:rPr>
        <w:t> </w:t>
      </w:r>
      <w:r>
        <w:rPr/>
        <w:t>part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our</w:t>
      </w:r>
      <w:r>
        <w:rPr>
          <w:spacing w:val="-12"/>
        </w:rPr>
        <w:t> </w:t>
      </w:r>
      <w:r>
        <w:rPr/>
        <w:t>work,</w:t>
      </w:r>
      <w:r>
        <w:rPr>
          <w:spacing w:val="-12"/>
        </w:rPr>
        <w:t> </w:t>
      </w:r>
      <w:r>
        <w:rPr/>
        <w:t>we</w:t>
      </w:r>
      <w:r>
        <w:rPr>
          <w:spacing w:val="-10"/>
        </w:rPr>
        <w:t> </w:t>
      </w:r>
      <w:r>
        <w:rPr/>
        <w:t>have</w:t>
      </w:r>
      <w:r>
        <w:rPr>
          <w:spacing w:val="-13"/>
        </w:rPr>
        <w:t> </w:t>
      </w:r>
      <w:r>
        <w:rPr/>
        <w:t>carried</w:t>
      </w:r>
      <w:r>
        <w:rPr>
          <w:spacing w:val="-13"/>
        </w:rPr>
        <w:t> </w:t>
      </w:r>
      <w:r>
        <w:rPr/>
        <w:t>out</w:t>
      </w:r>
      <w:r>
        <w:rPr>
          <w:spacing w:val="-12"/>
        </w:rPr>
        <w:t> </w:t>
      </w:r>
      <w:r>
        <w:rPr/>
        <w:t>market</w:t>
      </w:r>
      <w:r>
        <w:rPr>
          <w:spacing w:val="-10"/>
        </w:rPr>
        <w:t> </w:t>
      </w:r>
      <w:r>
        <w:rPr/>
        <w:t>research</w:t>
      </w:r>
      <w:r>
        <w:rPr>
          <w:spacing w:val="-13"/>
        </w:rPr>
        <w:t> </w:t>
      </w:r>
      <w:r>
        <w:rPr/>
        <w:t>using</w:t>
      </w:r>
      <w:r>
        <w:rPr>
          <w:spacing w:val="-12"/>
        </w:rPr>
        <w:t> </w:t>
      </w:r>
      <w:r>
        <w:rPr/>
        <w:t>external</w:t>
      </w:r>
      <w:r>
        <w:rPr>
          <w:spacing w:val="-7"/>
        </w:rPr>
        <w:t> </w:t>
      </w:r>
      <w:r>
        <w:rPr/>
        <w:t>database</w:t>
      </w:r>
      <w:r>
        <w:rPr>
          <w:spacing w:val="-7"/>
        </w:rPr>
        <w:t> </w:t>
      </w:r>
      <w:r>
        <w:rPr/>
        <w:t>sources,</w:t>
      </w:r>
      <w:r>
        <w:rPr>
          <w:spacing w:val="-11"/>
        </w:rPr>
        <w:t> </w:t>
      </w:r>
      <w:r>
        <w:rPr/>
        <w:t>including,</w:t>
      </w:r>
      <w:r>
        <w:rPr>
          <w:spacing w:val="-15"/>
        </w:rPr>
        <w:t> </w:t>
      </w:r>
      <w:r>
        <w:rPr/>
        <w:t>but</w:t>
      </w:r>
      <w:r>
        <w:rPr>
          <w:spacing w:val="-7"/>
        </w:rPr>
        <w:t> </w:t>
      </w:r>
      <w:r>
        <w:rPr/>
        <w:t>not</w:t>
      </w:r>
      <w:r>
        <w:rPr>
          <w:spacing w:val="-12"/>
        </w:rPr>
        <w:t> </w:t>
      </w:r>
      <w:r>
        <w:rPr/>
        <w:t>limited</w:t>
      </w:r>
      <w:r>
        <w:rPr>
          <w:spacing w:val="-12"/>
        </w:rPr>
        <w:t> </w:t>
      </w:r>
      <w:r>
        <w:rPr/>
        <w:t>to</w:t>
      </w:r>
      <w:r>
        <w:rPr>
          <w:spacing w:val="-10"/>
        </w:rPr>
        <w:t> </w:t>
      </w:r>
      <w:r>
        <w:rPr/>
        <w:t>S&amp;P Capital</w:t>
      </w:r>
      <w:r>
        <w:rPr>
          <w:spacing w:val="-7"/>
        </w:rPr>
        <w:t> </w:t>
      </w:r>
      <w:r>
        <w:rPr/>
        <w:t>IQ</w:t>
      </w:r>
      <w:r>
        <w:rPr>
          <w:spacing w:val="-7"/>
        </w:rPr>
        <w:t> </w:t>
      </w:r>
      <w:r>
        <w:rPr/>
        <w:t>and IBISWorld.</w:t>
      </w:r>
      <w:r>
        <w:rPr>
          <w:spacing w:val="40"/>
        </w:rPr>
        <w:t> </w:t>
      </w:r>
      <w:r>
        <w:rPr/>
        <w:t>Where</w:t>
      </w:r>
      <w:r>
        <w:rPr>
          <w:spacing w:val="-5"/>
        </w:rPr>
        <w:t> </w:t>
      </w:r>
      <w:r>
        <w:rPr/>
        <w:t>these</w:t>
      </w:r>
      <w:r>
        <w:rPr>
          <w:spacing w:val="-7"/>
        </w:rPr>
        <w:t> </w:t>
      </w:r>
      <w:r>
        <w:rPr/>
        <w:t>external</w:t>
      </w:r>
      <w:r>
        <w:rPr>
          <w:spacing w:val="-5"/>
        </w:rPr>
        <w:t> </w:t>
      </w:r>
      <w:r>
        <w:rPr/>
        <w:t>sources</w:t>
      </w:r>
      <w:r>
        <w:rPr>
          <w:spacing w:val="-7"/>
        </w:rPr>
        <w:t> </w:t>
      </w:r>
      <w:r>
        <w:rPr/>
        <w:t>have</w:t>
      </w:r>
      <w:r>
        <w:rPr>
          <w:spacing w:val="-10"/>
        </w:rPr>
        <w:t> </w:t>
      </w:r>
      <w:r>
        <w:rPr/>
        <w:t>been</w:t>
      </w:r>
      <w:r>
        <w:rPr>
          <w:spacing w:val="-5"/>
        </w:rPr>
        <w:t> </w:t>
      </w:r>
      <w:r>
        <w:rPr/>
        <w:t>used,</w:t>
      </w:r>
      <w:r>
        <w:rPr>
          <w:spacing w:val="-6"/>
        </w:rPr>
        <w:t> </w:t>
      </w:r>
      <w:r>
        <w:rPr/>
        <w:t>VC</w:t>
      </w:r>
      <w:r>
        <w:rPr>
          <w:spacing w:val="-7"/>
        </w:rPr>
        <w:t> </w:t>
      </w:r>
      <w:r>
        <w:rPr/>
        <w:t>has</w:t>
      </w:r>
      <w:r>
        <w:rPr>
          <w:spacing w:val="-5"/>
        </w:rPr>
        <w:t> </w:t>
      </w:r>
      <w:r>
        <w:rPr/>
        <w:t>relied</w:t>
      </w:r>
      <w:r>
        <w:rPr>
          <w:spacing w:val="-4"/>
        </w:rPr>
        <w:t> </w:t>
      </w:r>
      <w:r>
        <w:rPr/>
        <w:t>on</w:t>
      </w:r>
      <w:r>
        <w:rPr>
          <w:spacing w:val="-11"/>
        </w:rPr>
        <w:t> </w:t>
      </w:r>
      <w:r>
        <w:rPr/>
        <w:t>the</w:t>
      </w:r>
      <w:r>
        <w:rPr>
          <w:spacing w:val="-7"/>
        </w:rPr>
        <w:t> </w:t>
      </w:r>
      <w:r>
        <w:rPr/>
        <w:t>accuracy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sources.</w:t>
      </w:r>
    </w:p>
    <w:p>
      <w:pPr>
        <w:pStyle w:val="BodyText"/>
        <w:spacing w:line="249" w:lineRule="auto" w:before="222"/>
        <w:ind w:left="345" w:right="79"/>
        <w:jc w:val="both"/>
      </w:pPr>
      <w:r>
        <w:rPr>
          <w:spacing w:val="-4"/>
        </w:rPr>
        <w:t>This</w:t>
      </w:r>
      <w:r>
        <w:rPr>
          <w:spacing w:val="-16"/>
        </w:rPr>
        <w:t> </w:t>
      </w:r>
      <w:r>
        <w:rPr>
          <w:spacing w:val="-4"/>
        </w:rPr>
        <w:t>Report</w:t>
      </w:r>
      <w:r>
        <w:rPr>
          <w:spacing w:val="-15"/>
        </w:rPr>
        <w:t> </w:t>
      </w:r>
      <w:r>
        <w:rPr>
          <w:spacing w:val="-4"/>
        </w:rPr>
        <w:t>is</w:t>
      </w:r>
      <w:r>
        <w:rPr>
          <w:spacing w:val="-15"/>
        </w:rPr>
        <w:t> </w:t>
      </w:r>
      <w:r>
        <w:rPr>
          <w:spacing w:val="-4"/>
        </w:rPr>
        <w:t>strictly</w:t>
      </w:r>
      <w:r>
        <w:rPr>
          <w:spacing w:val="-16"/>
        </w:rPr>
        <w:t> </w:t>
      </w:r>
      <w:r>
        <w:rPr>
          <w:spacing w:val="-4"/>
        </w:rPr>
        <w:t>confidential</w:t>
      </w:r>
      <w:r>
        <w:rPr>
          <w:spacing w:val="-15"/>
        </w:rPr>
        <w:t> </w:t>
      </w:r>
      <w:r>
        <w:rPr>
          <w:spacing w:val="-4"/>
        </w:rPr>
        <w:t>and</w:t>
      </w:r>
      <w:r>
        <w:rPr>
          <w:spacing w:val="-16"/>
        </w:rPr>
        <w:t> </w:t>
      </w:r>
      <w:r>
        <w:rPr>
          <w:spacing w:val="-4"/>
        </w:rPr>
        <w:t>has</w:t>
      </w:r>
      <w:r>
        <w:rPr>
          <w:spacing w:val="-14"/>
        </w:rPr>
        <w:t> </w:t>
      </w:r>
      <w:r>
        <w:rPr>
          <w:spacing w:val="-4"/>
        </w:rPr>
        <w:t>been</w:t>
      </w:r>
      <w:r>
        <w:rPr>
          <w:spacing w:val="-15"/>
        </w:rPr>
        <w:t> </w:t>
      </w:r>
      <w:r>
        <w:rPr>
          <w:spacing w:val="-4"/>
        </w:rPr>
        <w:t>prepared</w:t>
      </w:r>
      <w:r>
        <w:rPr>
          <w:spacing w:val="-15"/>
        </w:rPr>
        <w:t> </w:t>
      </w:r>
      <w:r>
        <w:rPr>
          <w:spacing w:val="-4"/>
        </w:rPr>
        <w:t>solely</w:t>
      </w:r>
      <w:r>
        <w:rPr>
          <w:spacing w:val="-12"/>
        </w:rPr>
        <w:t> </w:t>
      </w:r>
      <w:r>
        <w:rPr>
          <w:spacing w:val="-4"/>
        </w:rPr>
        <w:t>for</w:t>
      </w:r>
      <w:r>
        <w:rPr>
          <w:spacing w:val="-15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use</w:t>
      </w:r>
      <w:r>
        <w:rPr>
          <w:spacing w:val="-15"/>
        </w:rPr>
        <w:t> </w:t>
      </w:r>
      <w:r>
        <w:rPr>
          <w:spacing w:val="-4"/>
        </w:rPr>
        <w:t>of</w:t>
      </w:r>
      <w:r>
        <w:rPr>
          <w:spacing w:val="-15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Directors</w:t>
      </w:r>
      <w:r>
        <w:rPr>
          <w:spacing w:val="-15"/>
        </w:rPr>
        <w:t> </w:t>
      </w:r>
      <w:r>
        <w:rPr>
          <w:spacing w:val="-4"/>
        </w:rPr>
        <w:t>of</w:t>
      </w:r>
      <w:r>
        <w:rPr>
          <w:spacing w:val="-15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business</w:t>
      </w:r>
      <w:r>
        <w:rPr>
          <w:spacing w:val="-14"/>
        </w:rPr>
        <w:t> </w:t>
      </w:r>
      <w:r>
        <w:rPr>
          <w:spacing w:val="-4"/>
        </w:rPr>
        <w:t>for</w:t>
      </w:r>
      <w:r>
        <w:rPr>
          <w:spacing w:val="-15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purpose</w:t>
      </w:r>
      <w:r>
        <w:rPr>
          <w:spacing w:val="-15"/>
        </w:rPr>
        <w:t> </w:t>
      </w:r>
      <w:r>
        <w:rPr>
          <w:spacing w:val="-4"/>
        </w:rPr>
        <w:t>noted </w:t>
      </w:r>
      <w:r>
        <w:rPr/>
        <w:t>in</w:t>
      </w:r>
      <w:r>
        <w:rPr>
          <w:spacing w:val="-9"/>
        </w:rPr>
        <w:t> </w:t>
      </w:r>
      <w:r>
        <w:rPr/>
        <w:t>Section</w:t>
      </w:r>
      <w:r>
        <w:rPr>
          <w:spacing w:val="-9"/>
        </w:rPr>
        <w:t> </w:t>
      </w:r>
      <w:r>
        <w:rPr/>
        <w:t>1</w:t>
      </w:r>
      <w:r>
        <w:rPr>
          <w:spacing w:val="-9"/>
        </w:rPr>
        <w:t> </w:t>
      </w:r>
      <w:r>
        <w:rPr/>
        <w:t>above.</w:t>
      </w:r>
      <w:r>
        <w:rPr>
          <w:spacing w:val="40"/>
        </w:rPr>
        <w:t> </w:t>
      </w:r>
      <w:r>
        <w:rPr/>
        <w:t>It</w:t>
      </w:r>
      <w:r>
        <w:rPr>
          <w:spacing w:val="-9"/>
        </w:rPr>
        <w:t> </w:t>
      </w:r>
      <w:r>
        <w:rPr/>
        <w:t>may</w:t>
      </w:r>
      <w:r>
        <w:rPr>
          <w:spacing w:val="-13"/>
        </w:rPr>
        <w:t> </w:t>
      </w:r>
      <w:r>
        <w:rPr/>
        <w:t>not</w:t>
      </w:r>
      <w:r>
        <w:rPr>
          <w:spacing w:val="-9"/>
        </w:rPr>
        <w:t> </w:t>
      </w:r>
      <w:r>
        <w:rPr/>
        <w:t>be</w:t>
      </w:r>
      <w:r>
        <w:rPr>
          <w:spacing w:val="-7"/>
        </w:rPr>
        <w:t> </w:t>
      </w:r>
      <w:r>
        <w:rPr/>
        <w:t>relied</w:t>
      </w:r>
      <w:r>
        <w:rPr>
          <w:spacing w:val="-12"/>
        </w:rPr>
        <w:t> </w:t>
      </w:r>
      <w:r>
        <w:rPr/>
        <w:t>upon</w:t>
      </w:r>
      <w:r>
        <w:rPr>
          <w:spacing w:val="-11"/>
        </w:rPr>
        <w:t> </w:t>
      </w:r>
      <w:r>
        <w:rPr/>
        <w:t>by</w:t>
      </w:r>
      <w:r>
        <w:rPr>
          <w:spacing w:val="-7"/>
        </w:rPr>
        <w:t> </w:t>
      </w:r>
      <w:r>
        <w:rPr/>
        <w:t>any</w:t>
      </w:r>
      <w:r>
        <w:rPr>
          <w:spacing w:val="-7"/>
        </w:rPr>
        <w:t> </w:t>
      </w:r>
      <w:r>
        <w:rPr/>
        <w:t>third</w:t>
      </w:r>
      <w:r>
        <w:rPr>
          <w:spacing w:val="-8"/>
        </w:rPr>
        <w:t> </w:t>
      </w:r>
      <w:r>
        <w:rPr/>
        <w:t>party</w:t>
      </w:r>
      <w:r>
        <w:rPr>
          <w:spacing w:val="-11"/>
        </w:rPr>
        <w:t> </w:t>
      </w:r>
      <w:r>
        <w:rPr/>
        <w:t>and</w:t>
      </w:r>
      <w:r>
        <w:rPr>
          <w:spacing w:val="-8"/>
        </w:rPr>
        <w:t> </w:t>
      </w:r>
      <w:r>
        <w:rPr/>
        <w:t>(apart</w:t>
      </w:r>
      <w:r>
        <w:rPr>
          <w:spacing w:val="-9"/>
        </w:rPr>
        <w:t> </w:t>
      </w:r>
      <w:r>
        <w:rPr/>
        <w:t>from</w:t>
      </w:r>
      <w:r>
        <w:rPr>
          <w:spacing w:val="-7"/>
        </w:rPr>
        <w:t> </w:t>
      </w:r>
      <w:r>
        <w:rPr/>
        <w:t>your</w:t>
      </w:r>
      <w:r>
        <w:rPr>
          <w:spacing w:val="-9"/>
        </w:rPr>
        <w:t> </w:t>
      </w:r>
      <w:r>
        <w:rPr/>
        <w:t>professional</w:t>
      </w:r>
      <w:r>
        <w:rPr>
          <w:spacing w:val="-9"/>
        </w:rPr>
        <w:t> </w:t>
      </w:r>
      <w:r>
        <w:rPr/>
        <w:t>advisors,</w:t>
      </w:r>
      <w:r>
        <w:rPr>
          <w:spacing w:val="-11"/>
        </w:rPr>
        <w:t> </w:t>
      </w:r>
      <w:r>
        <w:rPr/>
        <w:t>tax</w:t>
      </w:r>
      <w:r>
        <w:rPr>
          <w:spacing w:val="-9"/>
        </w:rPr>
        <w:t> </w:t>
      </w:r>
      <w:r>
        <w:rPr/>
        <w:t>authorities and any potential investors or lenders) it may not be shown to any third party without our consent which will not be unreasonably refused.</w:t>
      </w:r>
      <w:r>
        <w:rPr>
          <w:spacing w:val="40"/>
        </w:rPr>
        <w:t> </w:t>
      </w:r>
      <w:r>
        <w:rPr/>
        <w:t>VC</w:t>
      </w:r>
      <w:r>
        <w:rPr>
          <w:spacing w:val="-1"/>
        </w:rPr>
        <w:t> </w:t>
      </w:r>
      <w:r>
        <w:rPr/>
        <w:t>accepts no</w:t>
      </w:r>
      <w:r>
        <w:rPr>
          <w:spacing w:val="-1"/>
        </w:rPr>
        <w:t> </w:t>
      </w:r>
      <w:r>
        <w:rPr/>
        <w:t>duty</w:t>
      </w:r>
      <w:r>
        <w:rPr>
          <w:spacing w:val="-1"/>
        </w:rPr>
        <w:t> </w:t>
      </w:r>
      <w:r>
        <w:rPr/>
        <w:t>of care</w:t>
      </w:r>
      <w:r>
        <w:rPr>
          <w:spacing w:val="-1"/>
        </w:rPr>
        <w:t> </w:t>
      </w:r>
      <w:r>
        <w:rPr/>
        <w:t>to any third party for the</w:t>
      </w:r>
      <w:r>
        <w:rPr>
          <w:spacing w:val="-5"/>
        </w:rPr>
        <w:t> </w:t>
      </w:r>
      <w:r>
        <w:rPr/>
        <w:t>Report.</w:t>
      </w:r>
    </w:p>
    <w:p>
      <w:pPr>
        <w:pStyle w:val="BodyText"/>
        <w:spacing w:after="0" w:line="249" w:lineRule="auto"/>
        <w:jc w:val="both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BodyText"/>
        <w:spacing w:line="249" w:lineRule="auto" w:before="234"/>
        <w:ind w:left="345"/>
      </w:pPr>
      <w:r>
        <w:rPr>
          <w:spacing w:val="-2"/>
        </w:rPr>
        <w:t>This</w:t>
      </w:r>
      <w:r>
        <w:rPr>
          <w:spacing w:val="-17"/>
        </w:rPr>
        <w:t> </w:t>
      </w:r>
      <w:r>
        <w:rPr>
          <w:spacing w:val="-2"/>
        </w:rPr>
        <w:t>report</w:t>
      </w:r>
      <w:r>
        <w:rPr>
          <w:spacing w:val="-22"/>
        </w:rPr>
        <w:t> </w:t>
      </w:r>
      <w:r>
        <w:rPr>
          <w:spacing w:val="-2"/>
        </w:rPr>
        <w:t>does</w:t>
      </w:r>
      <w:r>
        <w:rPr>
          <w:spacing w:val="-14"/>
        </w:rPr>
        <w:t> </w:t>
      </w:r>
      <w:r>
        <w:rPr>
          <w:spacing w:val="-2"/>
        </w:rPr>
        <w:t>not</w:t>
      </w:r>
      <w:r>
        <w:rPr>
          <w:spacing w:val="-17"/>
        </w:rPr>
        <w:t> </w:t>
      </w:r>
      <w:r>
        <w:rPr>
          <w:spacing w:val="-2"/>
        </w:rPr>
        <w:t>constitute</w:t>
      </w:r>
      <w:r>
        <w:rPr>
          <w:spacing w:val="-22"/>
        </w:rPr>
        <w:t> </w:t>
      </w:r>
      <w:r>
        <w:rPr>
          <w:spacing w:val="-2"/>
        </w:rPr>
        <w:t>tax</w:t>
      </w:r>
      <w:r>
        <w:rPr>
          <w:spacing w:val="-17"/>
        </w:rPr>
        <w:t> </w:t>
      </w:r>
      <w:r>
        <w:rPr>
          <w:spacing w:val="-2"/>
        </w:rPr>
        <w:t>advice</w:t>
      </w:r>
      <w:r>
        <w:rPr>
          <w:spacing w:val="-17"/>
        </w:rPr>
        <w:t> </w:t>
      </w:r>
      <w:r>
        <w:rPr>
          <w:spacing w:val="-2"/>
        </w:rPr>
        <w:t>or</w:t>
      </w:r>
      <w:r>
        <w:rPr>
          <w:spacing w:val="-18"/>
        </w:rPr>
        <w:t> </w:t>
      </w:r>
      <w:r>
        <w:rPr>
          <w:spacing w:val="-2"/>
        </w:rPr>
        <w:t>investment</w:t>
      </w:r>
      <w:r>
        <w:rPr>
          <w:spacing w:val="-14"/>
        </w:rPr>
        <w:t> </w:t>
      </w:r>
      <w:r>
        <w:rPr>
          <w:spacing w:val="-2"/>
        </w:rPr>
        <w:t>advice</w:t>
      </w:r>
      <w:r>
        <w:rPr>
          <w:spacing w:val="-17"/>
        </w:rPr>
        <w:t> </w:t>
      </w:r>
      <w:r>
        <w:rPr>
          <w:spacing w:val="-2"/>
        </w:rPr>
        <w:t>and</w:t>
      </w:r>
      <w:r>
        <w:rPr>
          <w:spacing w:val="-15"/>
        </w:rPr>
        <w:t> </w:t>
      </w:r>
      <w:r>
        <w:rPr>
          <w:spacing w:val="-2"/>
        </w:rPr>
        <w:t>nothing</w:t>
      </w:r>
      <w:r>
        <w:rPr>
          <w:spacing w:val="-20"/>
        </w:rPr>
        <w:t> </w:t>
      </w:r>
      <w:r>
        <w:rPr>
          <w:spacing w:val="-2"/>
        </w:rPr>
        <w:t>written</w:t>
      </w:r>
      <w:r>
        <w:rPr>
          <w:spacing w:val="-22"/>
        </w:rPr>
        <w:t> </w:t>
      </w:r>
      <w:r>
        <w:rPr>
          <w:spacing w:val="-2"/>
        </w:rPr>
        <w:t>in</w:t>
      </w:r>
      <w:r>
        <w:rPr>
          <w:spacing w:val="-17"/>
        </w:rPr>
        <w:t> </w:t>
      </w:r>
      <w:r>
        <w:rPr>
          <w:spacing w:val="-2"/>
        </w:rPr>
        <w:t>or</w:t>
      </w:r>
      <w:r>
        <w:rPr>
          <w:spacing w:val="-17"/>
        </w:rPr>
        <w:t> </w:t>
      </w:r>
      <w:r>
        <w:rPr>
          <w:spacing w:val="-2"/>
        </w:rPr>
        <w:t>implied</w:t>
      </w:r>
      <w:r>
        <w:rPr>
          <w:spacing w:val="-20"/>
        </w:rPr>
        <w:t> </w:t>
      </w:r>
      <w:r>
        <w:rPr>
          <w:spacing w:val="-2"/>
        </w:rPr>
        <w:t>by</w:t>
      </w:r>
      <w:r>
        <w:rPr>
          <w:spacing w:val="-17"/>
        </w:rPr>
        <w:t> </w:t>
      </w:r>
      <w:r>
        <w:rPr>
          <w:spacing w:val="-2"/>
        </w:rPr>
        <w:t>this</w:t>
      </w:r>
      <w:r>
        <w:rPr>
          <w:spacing w:val="-14"/>
        </w:rPr>
        <w:t> </w:t>
      </w:r>
      <w:r>
        <w:rPr>
          <w:spacing w:val="-2"/>
        </w:rPr>
        <w:t>report</w:t>
      </w:r>
      <w:r>
        <w:rPr>
          <w:spacing w:val="-17"/>
        </w:rPr>
        <w:t> </w:t>
      </w:r>
      <w:r>
        <w:rPr>
          <w:spacing w:val="-2"/>
        </w:rPr>
        <w:t>should</w:t>
      </w:r>
      <w:r>
        <w:rPr>
          <w:spacing w:val="-15"/>
        </w:rPr>
        <w:t> </w:t>
      </w:r>
      <w:r>
        <w:rPr>
          <w:spacing w:val="-2"/>
        </w:rPr>
        <w:t>be</w:t>
      </w:r>
      <w:r>
        <w:rPr>
          <w:spacing w:val="-20"/>
        </w:rPr>
        <w:t> </w:t>
      </w:r>
      <w:r>
        <w:rPr>
          <w:spacing w:val="-2"/>
        </w:rPr>
        <w:t>taken </w:t>
      </w:r>
      <w:r>
        <w:rPr/>
        <w:t>as</w:t>
      </w:r>
      <w:r>
        <w:rPr>
          <w:spacing w:val="-2"/>
        </w:rPr>
        <w:t> </w:t>
      </w:r>
      <w:r>
        <w:rPr/>
        <w:t>tax</w:t>
      </w:r>
      <w:r>
        <w:rPr>
          <w:spacing w:val="-3"/>
        </w:rPr>
        <w:t> </w:t>
      </w:r>
      <w:r>
        <w:rPr/>
        <w:t>advice</w:t>
      </w:r>
      <w:r>
        <w:rPr>
          <w:spacing w:val="-3"/>
        </w:rPr>
        <w:t> </w:t>
      </w:r>
      <w:r>
        <w:rPr/>
        <w:t>or</w:t>
      </w:r>
      <w:r>
        <w:rPr>
          <w:spacing w:val="-5"/>
        </w:rPr>
        <w:t> </w:t>
      </w:r>
      <w:r>
        <w:rPr/>
        <w:t>investment</w:t>
      </w:r>
      <w:r>
        <w:rPr>
          <w:spacing w:val="-2"/>
        </w:rPr>
        <w:t> </w:t>
      </w:r>
      <w:r>
        <w:rPr/>
        <w:t>advice by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directors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Group</w:t>
      </w:r>
      <w:r>
        <w:rPr>
          <w:spacing w:val="-5"/>
        </w:rPr>
        <w:t> </w:t>
      </w:r>
      <w:r>
        <w:rPr/>
        <w:t>or</w:t>
      </w:r>
      <w:r>
        <w:rPr>
          <w:spacing w:val="-8"/>
        </w:rPr>
        <w:t> </w:t>
      </w:r>
      <w:r>
        <w:rPr/>
        <w:t>by</w:t>
      </w:r>
      <w:r>
        <w:rPr>
          <w:spacing w:val="-3"/>
        </w:rPr>
        <w:t> </w:t>
      </w:r>
      <w:r>
        <w:rPr/>
        <w:t>any</w:t>
      </w:r>
      <w:r>
        <w:rPr>
          <w:spacing w:val="-5"/>
        </w:rPr>
        <w:t> </w:t>
      </w:r>
      <w:r>
        <w:rPr/>
        <w:t>third</w:t>
      </w:r>
      <w:r>
        <w:rPr>
          <w:spacing w:val="-2"/>
        </w:rPr>
        <w:t> </w:t>
      </w:r>
      <w:r>
        <w:rPr/>
        <w:t>party.</w:t>
      </w:r>
    </w:p>
    <w:p>
      <w:pPr>
        <w:pStyle w:val="BodyText"/>
        <w:spacing w:before="224"/>
        <w:ind w:left="345"/>
      </w:pPr>
      <w:r>
        <w:rPr/>
        <w:t>The</w:t>
      </w:r>
      <w:r>
        <w:rPr>
          <w:spacing w:val="-8"/>
        </w:rPr>
        <w:t> </w:t>
      </w:r>
      <w:r>
        <w:rPr/>
        <w:t>valuation</w:t>
      </w:r>
      <w:r>
        <w:rPr>
          <w:spacing w:val="-13"/>
        </w:rPr>
        <w:t> </w:t>
      </w:r>
      <w:r>
        <w:rPr/>
        <w:t>of</w:t>
      </w:r>
      <w:r>
        <w:rPr>
          <w:spacing w:val="-10"/>
        </w:rPr>
        <w:t> </w:t>
      </w:r>
      <w:r>
        <w:rPr/>
        <w:t>unquoted</w:t>
      </w:r>
      <w:r>
        <w:rPr>
          <w:spacing w:val="-12"/>
        </w:rPr>
        <w:t> </w:t>
      </w:r>
      <w:r>
        <w:rPr/>
        <w:t>companies</w:t>
      </w:r>
      <w:r>
        <w:rPr>
          <w:spacing w:val="-15"/>
        </w:rPr>
        <w:t> </w:t>
      </w:r>
      <w:r>
        <w:rPr/>
        <w:t>is</w:t>
      </w:r>
      <w:r>
        <w:rPr>
          <w:spacing w:val="-12"/>
        </w:rPr>
        <w:t> </w:t>
      </w:r>
      <w:r>
        <w:rPr/>
        <w:t>not</w:t>
      </w:r>
      <w:r>
        <w:rPr>
          <w:spacing w:val="-10"/>
        </w:rPr>
        <w:t> </w:t>
      </w:r>
      <w:r>
        <w:rPr/>
        <w:t>an</w:t>
      </w:r>
      <w:r>
        <w:rPr>
          <w:spacing w:val="-10"/>
        </w:rPr>
        <w:t> </w:t>
      </w:r>
      <w:r>
        <w:rPr/>
        <w:t>exact</w:t>
      </w:r>
      <w:r>
        <w:rPr>
          <w:spacing w:val="-13"/>
        </w:rPr>
        <w:t> </w:t>
      </w:r>
      <w:r>
        <w:rPr/>
        <w:t>science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others</w:t>
      </w:r>
      <w:r>
        <w:rPr>
          <w:spacing w:val="-10"/>
        </w:rPr>
        <w:t> </w:t>
      </w:r>
      <w:r>
        <w:rPr/>
        <w:t>may</w:t>
      </w:r>
      <w:r>
        <w:rPr>
          <w:spacing w:val="-10"/>
        </w:rPr>
        <w:t> </w:t>
      </w:r>
      <w:r>
        <w:rPr/>
        <w:t>have</w:t>
      </w:r>
      <w:r>
        <w:rPr>
          <w:spacing w:val="-7"/>
        </w:rPr>
        <w:t> </w:t>
      </w:r>
      <w:r>
        <w:rPr/>
        <w:t>a</w:t>
      </w:r>
      <w:r>
        <w:rPr>
          <w:spacing w:val="-13"/>
        </w:rPr>
        <w:t> </w:t>
      </w:r>
      <w:r>
        <w:rPr/>
        <w:t>different</w:t>
      </w:r>
      <w:r>
        <w:rPr>
          <w:spacing w:val="-7"/>
        </w:rPr>
        <w:t> </w:t>
      </w:r>
      <w:r>
        <w:rPr/>
        <w:t>view</w:t>
      </w:r>
      <w:r>
        <w:rPr>
          <w:spacing w:val="-11"/>
        </w:rPr>
        <w:t> </w:t>
      </w:r>
      <w:r>
        <w:rPr/>
        <w:t>in</w:t>
      </w:r>
      <w:r>
        <w:rPr>
          <w:spacing w:val="-15"/>
        </w:rPr>
        <w:t> </w:t>
      </w:r>
      <w:r>
        <w:rPr/>
        <w:t>this</w:t>
      </w:r>
      <w:r>
        <w:rPr>
          <w:spacing w:val="-10"/>
        </w:rPr>
        <w:t> </w:t>
      </w:r>
      <w:r>
        <w:rPr>
          <w:spacing w:val="-2"/>
        </w:rPr>
        <w:t>regard.</w:t>
      </w:r>
    </w:p>
    <w:p>
      <w:pPr>
        <w:pStyle w:val="BodyText"/>
        <w:spacing w:after="0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1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spacing w:val="-2"/>
        </w:rPr>
        <w:t>OVERVIEW</w:t>
      </w:r>
    </w:p>
    <w:p>
      <w:pPr>
        <w:pStyle w:val="Heading2"/>
        <w:spacing w:before="181"/>
      </w:pPr>
      <w:r>
        <w:rPr>
          <w:spacing w:val="-2"/>
        </w:rPr>
        <w:t>Background</w:t>
      </w:r>
    </w:p>
    <w:p>
      <w:pPr>
        <w:pStyle w:val="BodyText"/>
        <w:spacing w:before="17"/>
        <w:rPr>
          <w:rFonts w:ascii="Tahoma"/>
          <w:b/>
        </w:rPr>
      </w:pPr>
    </w:p>
    <w:p>
      <w:pPr>
        <w:pStyle w:val="BodyText"/>
        <w:spacing w:line="247" w:lineRule="auto"/>
        <w:ind w:left="345"/>
      </w:pPr>
      <w:r>
        <w:rPr/>
        <w:t>Trees4Good,</w:t>
      </w:r>
      <w:r>
        <w:rPr>
          <w:spacing w:val="-20"/>
        </w:rPr>
        <w:t> </w:t>
      </w:r>
      <w:r>
        <w:rPr/>
        <w:t>which</w:t>
      </w:r>
      <w:r>
        <w:rPr>
          <w:spacing w:val="-21"/>
        </w:rPr>
        <w:t> </w:t>
      </w:r>
      <w:r>
        <w:rPr/>
        <w:t>was</w:t>
      </w:r>
      <w:r>
        <w:rPr>
          <w:spacing w:val="-19"/>
        </w:rPr>
        <w:t> </w:t>
      </w:r>
      <w:r>
        <w:rPr/>
        <w:t>established</w:t>
      </w:r>
      <w:r>
        <w:rPr>
          <w:spacing w:val="-19"/>
        </w:rPr>
        <w:t> </w:t>
      </w:r>
      <w:r>
        <w:rPr/>
        <w:t>in</w:t>
      </w:r>
      <w:r>
        <w:rPr>
          <w:spacing w:val="-20"/>
        </w:rPr>
        <w:t> </w:t>
      </w:r>
      <w:r>
        <w:rPr/>
        <w:t>May</w:t>
      </w:r>
      <w:r>
        <w:rPr>
          <w:spacing w:val="-19"/>
        </w:rPr>
        <w:t> </w:t>
      </w:r>
      <w:r>
        <w:rPr/>
        <w:t>2024</w:t>
      </w:r>
      <w:r>
        <w:rPr>
          <w:spacing w:val="-20"/>
        </w:rPr>
        <w:t> </w:t>
      </w:r>
      <w:r>
        <w:rPr/>
        <w:t>to</w:t>
      </w:r>
      <w:r>
        <w:rPr>
          <w:spacing w:val="-19"/>
        </w:rPr>
        <w:t> </w:t>
      </w:r>
      <w:r>
        <w:rPr/>
        <w:t>encourage</w:t>
      </w:r>
      <w:r>
        <w:rPr>
          <w:spacing w:val="-18"/>
        </w:rPr>
        <w:t> </w:t>
      </w:r>
      <w:r>
        <w:rPr/>
        <w:t>investment</w:t>
      </w:r>
      <w:r>
        <w:rPr>
          <w:spacing w:val="-19"/>
        </w:rPr>
        <w:t> </w:t>
      </w:r>
      <w:r>
        <w:rPr/>
        <w:t>in</w:t>
      </w:r>
      <w:r>
        <w:rPr>
          <w:spacing w:val="-18"/>
        </w:rPr>
        <w:t> </w:t>
      </w:r>
      <w:r>
        <w:rPr/>
        <w:t>Forestry,</w:t>
      </w:r>
      <w:r>
        <w:rPr>
          <w:spacing w:val="-20"/>
        </w:rPr>
        <w:t> </w:t>
      </w:r>
      <w:r>
        <w:rPr/>
        <w:t>including</w:t>
      </w:r>
      <w:r>
        <w:rPr>
          <w:spacing w:val="-19"/>
        </w:rPr>
        <w:t> </w:t>
      </w:r>
      <w:r>
        <w:rPr/>
        <w:t>maintenance</w:t>
      </w:r>
      <w:r>
        <w:rPr>
          <w:spacing w:val="-15"/>
        </w:rPr>
        <w:t> </w:t>
      </w:r>
      <w:r>
        <w:rPr/>
        <w:t>and</w:t>
      </w:r>
      <w:r>
        <w:rPr>
          <w:spacing w:val="-17"/>
        </w:rPr>
        <w:t> </w:t>
      </w:r>
      <w:r>
        <w:rPr/>
        <w:t>harvesting of</w:t>
      </w:r>
      <w:r>
        <w:rPr>
          <w:spacing w:val="-9"/>
        </w:rPr>
        <w:t> </w:t>
      </w:r>
      <w:r>
        <w:rPr/>
        <w:t>trees</w:t>
      </w:r>
      <w:r>
        <w:rPr>
          <w:spacing w:val="-3"/>
        </w:rPr>
        <w:t> </w:t>
      </w:r>
      <w:r>
        <w:rPr/>
        <w:t>for</w:t>
      </w:r>
      <w:r>
        <w:rPr>
          <w:spacing w:val="-10"/>
        </w:rPr>
        <w:t> </w:t>
      </w:r>
      <w:r>
        <w:rPr/>
        <w:t>timber</w:t>
      </w:r>
      <w:r>
        <w:rPr>
          <w:spacing w:val="-7"/>
        </w:rPr>
        <w:t> </w:t>
      </w:r>
      <w:r>
        <w:rPr/>
        <w:t>production,</w:t>
      </w:r>
      <w:r>
        <w:rPr>
          <w:spacing w:val="-10"/>
        </w:rPr>
        <w:t> </w:t>
      </w:r>
      <w:r>
        <w:rPr/>
        <w:t>wildlife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ecological</w:t>
      </w:r>
      <w:r>
        <w:rPr>
          <w:spacing w:val="-7"/>
        </w:rPr>
        <w:t> </w:t>
      </w:r>
      <w:r>
        <w:rPr/>
        <w:t>benefit,</w:t>
      </w:r>
      <w:r>
        <w:rPr>
          <w:spacing w:val="-8"/>
        </w:rPr>
        <w:t> </w:t>
      </w:r>
      <w:r>
        <w:rPr/>
        <w:t>social/sporting</w:t>
      </w:r>
      <w:r>
        <w:rPr>
          <w:spacing w:val="-7"/>
        </w:rPr>
        <w:t> </w:t>
      </w:r>
      <w:r>
        <w:rPr/>
        <w:t>enjoyment,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sustainability.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345" w:right="76"/>
      </w:pPr>
      <w:r>
        <w:rPr>
          <w:spacing w:val="-2"/>
        </w:rPr>
        <w:t>Trees4Good</w:t>
      </w:r>
      <w:r>
        <w:rPr>
          <w:spacing w:val="-9"/>
        </w:rPr>
        <w:t> </w:t>
      </w:r>
      <w:r>
        <w:rPr>
          <w:spacing w:val="-2"/>
        </w:rPr>
        <w:t>is</w:t>
      </w:r>
      <w:r>
        <w:rPr>
          <w:spacing w:val="-9"/>
        </w:rPr>
        <w:t> </w:t>
      </w:r>
      <w:r>
        <w:rPr>
          <w:spacing w:val="-2"/>
        </w:rPr>
        <w:t>offering</w:t>
      </w:r>
      <w:r>
        <w:rPr>
          <w:spacing w:val="-7"/>
        </w:rPr>
        <w:t> </w:t>
      </w:r>
      <w:r>
        <w:rPr>
          <w:spacing w:val="-2"/>
        </w:rPr>
        <w:t>two</w:t>
      </w:r>
      <w:r>
        <w:rPr>
          <w:spacing w:val="-6"/>
        </w:rPr>
        <w:t> </w:t>
      </w:r>
      <w:r>
        <w:rPr>
          <w:spacing w:val="-2"/>
        </w:rPr>
        <w:t>business</w:t>
      </w:r>
      <w:r>
        <w:rPr>
          <w:spacing w:val="-7"/>
        </w:rPr>
        <w:t> </w:t>
      </w:r>
      <w:r>
        <w:rPr>
          <w:spacing w:val="-2"/>
        </w:rPr>
        <w:t>lines</w:t>
      </w:r>
      <w:r>
        <w:rPr>
          <w:spacing w:val="-7"/>
        </w:rPr>
        <w:t> </w:t>
      </w:r>
      <w:r>
        <w:rPr>
          <w:spacing w:val="-2"/>
        </w:rPr>
        <w:t>including</w:t>
      </w:r>
      <w:r>
        <w:rPr>
          <w:spacing w:val="-7"/>
        </w:rPr>
        <w:t> </w:t>
      </w:r>
      <w:r>
        <w:rPr>
          <w:spacing w:val="-2"/>
        </w:rPr>
        <w:t>direct</w:t>
      </w:r>
      <w:r>
        <w:rPr>
          <w:spacing w:val="-7"/>
        </w:rPr>
        <w:t> </w:t>
      </w:r>
      <w:r>
        <w:rPr>
          <w:spacing w:val="-2"/>
        </w:rPr>
        <w:t>tree</w:t>
      </w:r>
      <w:r>
        <w:rPr>
          <w:spacing w:val="-12"/>
        </w:rPr>
        <w:t> </w:t>
      </w:r>
      <w:r>
        <w:rPr>
          <w:spacing w:val="-2"/>
        </w:rPr>
        <w:t>planting</w:t>
      </w:r>
      <w:r>
        <w:rPr>
          <w:spacing w:val="-9"/>
        </w:rPr>
        <w:t> </w:t>
      </w:r>
      <w:r>
        <w:rPr>
          <w:spacing w:val="-2"/>
        </w:rPr>
        <w:t>services</w:t>
      </w:r>
      <w:r>
        <w:rPr>
          <w:spacing w:val="-6"/>
        </w:rPr>
        <w:t> </w:t>
      </w:r>
      <w:r>
        <w:rPr>
          <w:spacing w:val="-2"/>
        </w:rPr>
        <w:t>and</w:t>
      </w:r>
      <w:r>
        <w:rPr>
          <w:spacing w:val="-8"/>
        </w:rPr>
        <w:t> </w:t>
      </w:r>
      <w:r>
        <w:rPr>
          <w:spacing w:val="-2"/>
        </w:rPr>
        <w:t>innovative</w:t>
      </w:r>
      <w:r>
        <w:rPr>
          <w:spacing w:val="-13"/>
        </w:rPr>
        <w:t> </w:t>
      </w:r>
      <w:r>
        <w:rPr>
          <w:spacing w:val="-2"/>
        </w:rPr>
        <w:t>carbon</w:t>
      </w:r>
      <w:r>
        <w:rPr>
          <w:spacing w:val="-12"/>
        </w:rPr>
        <w:t> </w:t>
      </w:r>
      <w:r>
        <w:rPr>
          <w:spacing w:val="-2"/>
        </w:rPr>
        <w:t>credit</w:t>
      </w:r>
      <w:r>
        <w:rPr>
          <w:spacing w:val="-4"/>
        </w:rPr>
        <w:t> </w:t>
      </w:r>
      <w:r>
        <w:rPr>
          <w:spacing w:val="-2"/>
        </w:rPr>
        <w:t>trading,</w:t>
      </w:r>
      <w:r>
        <w:rPr>
          <w:spacing w:val="-10"/>
        </w:rPr>
        <w:t> </w:t>
      </w:r>
      <w:r>
        <w:rPr>
          <w:spacing w:val="-2"/>
        </w:rPr>
        <w:t>offering a</w:t>
      </w:r>
      <w:r>
        <w:rPr>
          <w:spacing w:val="-12"/>
        </w:rPr>
        <w:t> </w:t>
      </w:r>
      <w:r>
        <w:rPr>
          <w:spacing w:val="-2"/>
        </w:rPr>
        <w:t>green</w:t>
      </w:r>
      <w:r>
        <w:rPr>
          <w:spacing w:val="-10"/>
        </w:rPr>
        <w:t> </w:t>
      </w:r>
      <w:r>
        <w:rPr>
          <w:spacing w:val="-2"/>
        </w:rPr>
        <w:t>private</w:t>
      </w:r>
      <w:r>
        <w:rPr>
          <w:spacing w:val="-8"/>
        </w:rPr>
        <w:t> </w:t>
      </w:r>
      <w:r>
        <w:rPr>
          <w:spacing w:val="-2"/>
        </w:rPr>
        <w:t>investment</w:t>
      </w:r>
      <w:r>
        <w:rPr>
          <w:spacing w:val="-12"/>
        </w:rPr>
        <w:t> </w:t>
      </w:r>
      <w:r>
        <w:rPr>
          <w:spacing w:val="-2"/>
        </w:rPr>
        <w:t>within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forestry</w:t>
      </w:r>
      <w:r>
        <w:rPr>
          <w:spacing w:val="-10"/>
        </w:rPr>
        <w:t> </w:t>
      </w:r>
      <w:r>
        <w:rPr>
          <w:spacing w:val="-2"/>
        </w:rPr>
        <w:t>industry.</w:t>
      </w:r>
      <w:r>
        <w:rPr>
          <w:spacing w:val="-10"/>
        </w:rPr>
        <w:t> </w:t>
      </w:r>
      <w:r>
        <w:rPr>
          <w:spacing w:val="-2"/>
        </w:rPr>
        <w:t>This</w:t>
      </w:r>
      <w:r>
        <w:rPr>
          <w:spacing w:val="-11"/>
        </w:rPr>
        <w:t> </w:t>
      </w:r>
      <w:r>
        <w:rPr>
          <w:spacing w:val="-2"/>
        </w:rPr>
        <w:t>includes</w:t>
      </w:r>
      <w:r>
        <w:rPr>
          <w:spacing w:val="-10"/>
        </w:rPr>
        <w:t> </w:t>
      </w:r>
      <w:r>
        <w:rPr>
          <w:spacing w:val="-2"/>
        </w:rPr>
        <w:t>maintenance</w:t>
      </w:r>
      <w:r>
        <w:rPr>
          <w:spacing w:val="-7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harvesting</w:t>
      </w:r>
      <w:r>
        <w:rPr>
          <w:spacing w:val="-14"/>
        </w:rPr>
        <w:t> </w:t>
      </w:r>
      <w:r>
        <w:rPr>
          <w:spacing w:val="-2"/>
        </w:rPr>
        <w:t>of</w:t>
      </w:r>
      <w:r>
        <w:rPr>
          <w:spacing w:val="-10"/>
        </w:rPr>
        <w:t> </w:t>
      </w:r>
      <w:r>
        <w:rPr>
          <w:spacing w:val="-2"/>
        </w:rPr>
        <w:t>trees</w:t>
      </w:r>
      <w:r>
        <w:rPr>
          <w:spacing w:val="-12"/>
        </w:rPr>
        <w:t> </w:t>
      </w:r>
      <w:r>
        <w:rPr>
          <w:spacing w:val="-2"/>
        </w:rPr>
        <w:t>for</w:t>
      </w:r>
      <w:r>
        <w:rPr>
          <w:spacing w:val="-10"/>
        </w:rPr>
        <w:t> </w:t>
      </w:r>
      <w:r>
        <w:rPr>
          <w:spacing w:val="-2"/>
        </w:rPr>
        <w:t>timber </w:t>
      </w:r>
      <w:r>
        <w:rPr/>
        <w:t>production, wildlife and ecological benefits, social/sporting enjoyment</w:t>
      </w:r>
      <w:r>
        <w:rPr>
          <w:spacing w:val="-2"/>
        </w:rPr>
        <w:t> </w:t>
      </w:r>
      <w:r>
        <w:rPr/>
        <w:t>and sustainability.</w:t>
      </w:r>
    </w:p>
    <w:p>
      <w:pPr>
        <w:pStyle w:val="BodyText"/>
        <w:spacing w:before="2"/>
      </w:pPr>
    </w:p>
    <w:p>
      <w:pPr>
        <w:pStyle w:val="BodyText"/>
        <w:spacing w:line="247" w:lineRule="auto"/>
        <w:ind w:left="345"/>
      </w:pPr>
      <w:r>
        <w:rPr/>
        <w:t>Demand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reforestation</w:t>
      </w:r>
      <w:r>
        <w:rPr>
          <w:spacing w:val="-8"/>
        </w:rPr>
        <w:t> </w:t>
      </w:r>
      <w:r>
        <w:rPr/>
        <w:t>is</w:t>
      </w:r>
      <w:r>
        <w:rPr>
          <w:spacing w:val="-8"/>
        </w:rPr>
        <w:t> </w:t>
      </w:r>
      <w:r>
        <w:rPr/>
        <w:t>expanding</w:t>
      </w:r>
      <w:r>
        <w:rPr>
          <w:spacing w:val="-8"/>
        </w:rPr>
        <w:t> </w:t>
      </w:r>
      <w:r>
        <w:rPr/>
        <w:t>at</w:t>
      </w:r>
      <w:r>
        <w:rPr>
          <w:spacing w:val="-12"/>
        </w:rPr>
        <w:t> </w:t>
      </w:r>
      <w:r>
        <w:rPr/>
        <w:t>a</w:t>
      </w:r>
      <w:r>
        <w:rPr>
          <w:spacing w:val="-4"/>
        </w:rPr>
        <w:t> </w:t>
      </w:r>
      <w:r>
        <w:rPr/>
        <w:t>fast</w:t>
      </w:r>
      <w:r>
        <w:rPr>
          <w:spacing w:val="-4"/>
        </w:rPr>
        <w:t> </w:t>
      </w:r>
      <w:r>
        <w:rPr/>
        <w:t>pace,</w:t>
      </w:r>
      <w:r>
        <w:rPr>
          <w:spacing w:val="-8"/>
        </w:rPr>
        <w:t> </w:t>
      </w:r>
      <w:r>
        <w:rPr/>
        <w:t>driven</w:t>
      </w:r>
      <w:r>
        <w:rPr>
          <w:spacing w:val="-10"/>
        </w:rPr>
        <w:t> </w:t>
      </w:r>
      <w:r>
        <w:rPr/>
        <w:t>by</w:t>
      </w:r>
      <w:r>
        <w:rPr>
          <w:spacing w:val="-7"/>
        </w:rPr>
        <w:t> </w:t>
      </w:r>
      <w:r>
        <w:rPr/>
        <w:t>a</w:t>
      </w:r>
      <w:r>
        <w:rPr>
          <w:spacing w:val="-10"/>
        </w:rPr>
        <w:t> </w:t>
      </w:r>
      <w:r>
        <w:rPr/>
        <w:t>commitment</w:t>
      </w:r>
      <w:r>
        <w:rPr>
          <w:spacing w:val="-8"/>
        </w:rPr>
        <w:t> </w:t>
      </w:r>
      <w:r>
        <w:rPr/>
        <w:t>observed</w:t>
      </w:r>
      <w:r>
        <w:rPr>
          <w:spacing w:val="-7"/>
        </w:rPr>
        <w:t> </w:t>
      </w:r>
      <w:r>
        <w:rPr/>
        <w:t>by</w:t>
      </w:r>
      <w:r>
        <w:rPr>
          <w:spacing w:val="-12"/>
        </w:rPr>
        <w:t> </w:t>
      </w:r>
      <w:r>
        <w:rPr/>
        <w:t>governments,</w:t>
      </w:r>
      <w:r>
        <w:rPr>
          <w:spacing w:val="-8"/>
        </w:rPr>
        <w:t> </w:t>
      </w:r>
      <w:r>
        <w:rPr/>
        <w:t>corporations</w:t>
      </w:r>
      <w:r>
        <w:rPr>
          <w:spacing w:val="-10"/>
        </w:rPr>
        <w:t> </w:t>
      </w:r>
      <w:r>
        <w:rPr/>
        <w:t>and individuals</w:t>
      </w:r>
      <w:r>
        <w:rPr>
          <w:spacing w:val="-8"/>
        </w:rPr>
        <w:t> </w:t>
      </w:r>
      <w:r>
        <w:rPr/>
        <w:t>to</w:t>
      </w:r>
      <w:r>
        <w:rPr>
          <w:spacing w:val="-12"/>
        </w:rPr>
        <w:t> </w:t>
      </w:r>
      <w:r>
        <w:rPr/>
        <w:t>meet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carbon</w:t>
      </w:r>
      <w:r>
        <w:rPr>
          <w:spacing w:val="-10"/>
        </w:rPr>
        <w:t> </w:t>
      </w:r>
      <w:r>
        <w:rPr/>
        <w:t>neutrality</w:t>
      </w:r>
      <w:r>
        <w:rPr>
          <w:spacing w:val="-13"/>
        </w:rPr>
        <w:t> </w:t>
      </w:r>
      <w:r>
        <w:rPr/>
        <w:t>goals,</w:t>
      </w:r>
      <w:r>
        <w:rPr>
          <w:spacing w:val="-12"/>
        </w:rPr>
        <w:t> </w:t>
      </w:r>
      <w:r>
        <w:rPr/>
        <w:t>with</w:t>
      </w:r>
      <w:r>
        <w:rPr>
          <w:spacing w:val="-7"/>
        </w:rPr>
        <w:t> </w:t>
      </w:r>
      <w:r>
        <w:rPr/>
        <w:t>the</w:t>
      </w:r>
      <w:r>
        <w:rPr>
          <w:spacing w:val="-10"/>
        </w:rPr>
        <w:t> </w:t>
      </w:r>
      <w:r>
        <w:rPr/>
        <w:t>government</w:t>
      </w:r>
      <w:r>
        <w:rPr>
          <w:spacing w:val="-10"/>
        </w:rPr>
        <w:t> </w:t>
      </w:r>
      <w:r>
        <w:rPr/>
        <w:t>providing</w:t>
      </w:r>
      <w:r>
        <w:rPr>
          <w:spacing w:val="-12"/>
        </w:rPr>
        <w:t> </w:t>
      </w:r>
      <w:r>
        <w:rPr/>
        <w:t>grants</w:t>
      </w:r>
      <w:r>
        <w:rPr>
          <w:spacing w:val="-10"/>
        </w:rPr>
        <w:t> </w:t>
      </w:r>
      <w:r>
        <w:rPr/>
        <w:t>for</w:t>
      </w:r>
      <w:r>
        <w:rPr>
          <w:spacing w:val="-13"/>
        </w:rPr>
        <w:t> </w:t>
      </w:r>
      <w:r>
        <w:rPr/>
        <w:t>tree</w:t>
      </w:r>
      <w:r>
        <w:rPr>
          <w:spacing w:val="-7"/>
        </w:rPr>
        <w:t> </w:t>
      </w:r>
      <w:r>
        <w:rPr/>
        <w:t>planting.</w:t>
      </w:r>
      <w:r>
        <w:rPr>
          <w:spacing w:val="-12"/>
        </w:rPr>
        <w:t> </w:t>
      </w:r>
      <w:r>
        <w:rPr/>
        <w:t>The</w:t>
      </w:r>
      <w:r>
        <w:rPr>
          <w:spacing w:val="-6"/>
        </w:rPr>
        <w:t> </w:t>
      </w:r>
      <w:r>
        <w:rPr/>
        <w:t>global reforestation</w:t>
      </w:r>
      <w:r>
        <w:rPr>
          <w:spacing w:val="-17"/>
        </w:rPr>
        <w:t> </w:t>
      </w:r>
      <w:r>
        <w:rPr/>
        <w:t>market</w:t>
      </w:r>
      <w:r>
        <w:rPr>
          <w:spacing w:val="-17"/>
        </w:rPr>
        <w:t> </w:t>
      </w:r>
      <w:r>
        <w:rPr/>
        <w:t>is</w:t>
      </w:r>
      <w:r>
        <w:rPr>
          <w:spacing w:val="-15"/>
        </w:rPr>
        <w:t> </w:t>
      </w:r>
      <w:r>
        <w:rPr/>
        <w:t>expected</w:t>
      </w:r>
      <w:r>
        <w:rPr>
          <w:spacing w:val="-17"/>
        </w:rPr>
        <w:t> </w:t>
      </w:r>
      <w:r>
        <w:rPr/>
        <w:t>to</w:t>
      </w:r>
      <w:r>
        <w:rPr>
          <w:spacing w:val="-16"/>
        </w:rPr>
        <w:t> </w:t>
      </w:r>
      <w:r>
        <w:rPr/>
        <w:t>reach</w:t>
      </w:r>
      <w:r>
        <w:rPr>
          <w:spacing w:val="-17"/>
        </w:rPr>
        <w:t> </w:t>
      </w:r>
      <w:r>
        <w:rPr/>
        <w:t>$75</w:t>
      </w:r>
      <w:r>
        <w:rPr>
          <w:spacing w:val="-18"/>
        </w:rPr>
        <w:t> </w:t>
      </w:r>
      <w:r>
        <w:rPr/>
        <w:t>billion</w:t>
      </w:r>
      <w:r>
        <w:rPr>
          <w:spacing w:val="-17"/>
        </w:rPr>
        <w:t> </w:t>
      </w:r>
      <w:r>
        <w:rPr/>
        <w:t>by</w:t>
      </w:r>
      <w:r>
        <w:rPr>
          <w:spacing w:val="-12"/>
        </w:rPr>
        <w:t> </w:t>
      </w:r>
      <w:r>
        <w:rPr/>
        <w:t>2030,</w:t>
      </w:r>
      <w:r>
        <w:rPr>
          <w:spacing w:val="-12"/>
        </w:rPr>
        <w:t> </w:t>
      </w:r>
      <w:r>
        <w:rPr/>
        <w:t>expanding</w:t>
      </w:r>
      <w:r>
        <w:rPr>
          <w:spacing w:val="-15"/>
        </w:rPr>
        <w:t> </w:t>
      </w:r>
      <w:r>
        <w:rPr/>
        <w:t>at</w:t>
      </w:r>
      <w:r>
        <w:rPr>
          <w:spacing w:val="-12"/>
        </w:rPr>
        <w:t> </w:t>
      </w:r>
      <w:r>
        <w:rPr/>
        <w:t>a</w:t>
      </w:r>
      <w:r>
        <w:rPr>
          <w:spacing w:val="-15"/>
        </w:rPr>
        <w:t> </w:t>
      </w:r>
      <w:r>
        <w:rPr/>
        <w:t>CAGR</w:t>
      </w:r>
      <w:r>
        <w:rPr>
          <w:spacing w:val="-14"/>
        </w:rPr>
        <w:t> </w:t>
      </w:r>
      <w:r>
        <w:rPr/>
        <w:t>of</w:t>
      </w:r>
      <w:r>
        <w:rPr>
          <w:spacing w:val="-15"/>
        </w:rPr>
        <w:t> </w:t>
      </w:r>
      <w:r>
        <w:rPr/>
        <w:t>9.0%,</w:t>
      </w:r>
      <w:r>
        <w:rPr>
          <w:spacing w:val="-17"/>
        </w:rPr>
        <w:t> </w:t>
      </w:r>
      <w:r>
        <w:rPr/>
        <w:t>according</w:t>
      </w:r>
      <w:r>
        <w:rPr>
          <w:spacing w:val="-15"/>
        </w:rPr>
        <w:t> </w:t>
      </w:r>
      <w:r>
        <w:rPr/>
        <w:t>to</w:t>
      </w:r>
      <w:r>
        <w:rPr>
          <w:spacing w:val="-14"/>
        </w:rPr>
        <w:t> </w:t>
      </w:r>
      <w:r>
        <w:rPr/>
        <w:t>industry</w:t>
      </w:r>
      <w:r>
        <w:rPr>
          <w:spacing w:val="-14"/>
        </w:rPr>
        <w:t> </w:t>
      </w:r>
      <w:r>
        <w:rPr/>
        <w:t>reports.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345" w:right="340"/>
        <w:jc w:val="both"/>
      </w:pPr>
      <w:r>
        <w:rPr/>
        <w:t>Revenue</w:t>
      </w:r>
      <w:r>
        <w:rPr>
          <w:spacing w:val="-15"/>
        </w:rPr>
        <w:t> </w:t>
      </w:r>
      <w:r>
        <w:rPr/>
        <w:t>from</w:t>
      </w:r>
      <w:r>
        <w:rPr>
          <w:spacing w:val="-13"/>
        </w:rPr>
        <w:t> </w:t>
      </w:r>
      <w:r>
        <w:rPr/>
        <w:t>carbon</w:t>
      </w:r>
      <w:r>
        <w:rPr>
          <w:spacing w:val="-15"/>
        </w:rPr>
        <w:t> </w:t>
      </w:r>
      <w:r>
        <w:rPr/>
        <w:t>credits</w:t>
      </w:r>
      <w:r>
        <w:rPr>
          <w:spacing w:val="-15"/>
        </w:rPr>
        <w:t> </w:t>
      </w:r>
      <w:r>
        <w:rPr/>
        <w:t>is</w:t>
      </w:r>
      <w:r>
        <w:rPr>
          <w:spacing w:val="-14"/>
        </w:rPr>
        <w:t> </w:t>
      </w:r>
      <w:r>
        <w:rPr/>
        <w:t>expected</w:t>
      </w:r>
      <w:r>
        <w:rPr>
          <w:spacing w:val="-12"/>
        </w:rPr>
        <w:t> </w:t>
      </w:r>
      <w:r>
        <w:rPr/>
        <w:t>to</w:t>
      </w:r>
      <w:r>
        <w:rPr>
          <w:spacing w:val="-16"/>
        </w:rPr>
        <w:t> </w:t>
      </w:r>
      <w:r>
        <w:rPr/>
        <w:t>be</w:t>
      </w:r>
      <w:r>
        <w:rPr>
          <w:spacing w:val="-15"/>
        </w:rPr>
        <w:t> </w:t>
      </w:r>
      <w:r>
        <w:rPr/>
        <w:t>realised</w:t>
      </w:r>
      <w:r>
        <w:rPr>
          <w:spacing w:val="-14"/>
        </w:rPr>
        <w:t> </w:t>
      </w:r>
      <w:r>
        <w:rPr/>
        <w:t>through</w:t>
      </w:r>
      <w:r>
        <w:rPr>
          <w:spacing w:val="-15"/>
        </w:rPr>
        <w:t> </w:t>
      </w:r>
      <w:r>
        <w:rPr/>
        <w:t>strategic</w:t>
      </w:r>
      <w:r>
        <w:rPr>
          <w:spacing w:val="-14"/>
        </w:rPr>
        <w:t> </w:t>
      </w:r>
      <w:r>
        <w:rPr/>
        <w:t>partnership</w:t>
      </w:r>
      <w:r>
        <w:rPr>
          <w:spacing w:val="-15"/>
        </w:rPr>
        <w:t> </w:t>
      </w:r>
      <w:r>
        <w:rPr/>
        <w:t>with</w:t>
      </w:r>
      <w:r>
        <w:rPr>
          <w:spacing w:val="-12"/>
        </w:rPr>
        <w:t> </w:t>
      </w:r>
      <w:r>
        <w:rPr/>
        <w:t>governments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corporations. Carbon</w:t>
      </w:r>
      <w:r>
        <w:rPr>
          <w:spacing w:val="-7"/>
        </w:rPr>
        <w:t> </w:t>
      </w:r>
      <w:r>
        <w:rPr/>
        <w:t>trading</w:t>
      </w:r>
      <w:r>
        <w:rPr>
          <w:spacing w:val="-7"/>
        </w:rPr>
        <w:t> </w:t>
      </w:r>
      <w:r>
        <w:rPr/>
        <w:t>credits</w:t>
      </w:r>
      <w:r>
        <w:rPr>
          <w:spacing w:val="-7"/>
        </w:rPr>
        <w:t> </w:t>
      </w:r>
      <w:r>
        <w:rPr/>
        <w:t>are</w:t>
      </w:r>
      <w:r>
        <w:rPr>
          <w:spacing w:val="-7"/>
        </w:rPr>
        <w:t> </w:t>
      </w:r>
      <w:r>
        <w:rPr/>
        <w:t>of</w:t>
      </w:r>
      <w:r>
        <w:rPr>
          <w:spacing w:val="-10"/>
        </w:rPr>
        <w:t> </w:t>
      </w:r>
      <w:r>
        <w:rPr/>
        <w:t>high</w:t>
      </w:r>
      <w:r>
        <w:rPr>
          <w:spacing w:val="-7"/>
        </w:rPr>
        <w:t> </w:t>
      </w:r>
      <w:r>
        <w:rPr/>
        <w:t>demand</w:t>
      </w:r>
      <w:r>
        <w:rPr>
          <w:spacing w:val="-7"/>
        </w:rPr>
        <w:t> </w:t>
      </w:r>
      <w:r>
        <w:rPr/>
        <w:t>within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carbon</w:t>
      </w:r>
      <w:r>
        <w:rPr>
          <w:spacing w:val="-9"/>
        </w:rPr>
        <w:t> </w:t>
      </w:r>
      <w:r>
        <w:rPr/>
        <w:t>trading</w:t>
      </w:r>
      <w:r>
        <w:rPr>
          <w:spacing w:val="-9"/>
        </w:rPr>
        <w:t> </w:t>
      </w:r>
      <w:r>
        <w:rPr/>
        <w:t>markets,</w:t>
      </w:r>
      <w:r>
        <w:rPr>
          <w:spacing w:val="-7"/>
        </w:rPr>
        <w:t> </w:t>
      </w:r>
      <w:r>
        <w:rPr/>
        <w:t>which</w:t>
      </w:r>
      <w:r>
        <w:rPr>
          <w:spacing w:val="-7"/>
        </w:rPr>
        <w:t> </w:t>
      </w:r>
      <w:r>
        <w:rPr/>
        <w:t>is</w:t>
      </w:r>
      <w:r>
        <w:rPr>
          <w:spacing w:val="-7"/>
        </w:rPr>
        <w:t> </w:t>
      </w:r>
      <w:r>
        <w:rPr/>
        <w:t>anticipated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reach</w:t>
      </w:r>
      <w:r>
        <w:rPr>
          <w:spacing w:val="-9"/>
        </w:rPr>
        <w:t> </w:t>
      </w:r>
      <w:r>
        <w:rPr/>
        <w:t>$22</w:t>
      </w:r>
      <w:r>
        <w:rPr>
          <w:spacing w:val="-10"/>
        </w:rPr>
        <w:t> </w:t>
      </w:r>
      <w:r>
        <w:rPr/>
        <w:t>billion</w:t>
      </w:r>
      <w:r>
        <w:rPr>
          <w:spacing w:val="-4"/>
        </w:rPr>
        <w:t> </w:t>
      </w:r>
      <w:r>
        <w:rPr/>
        <w:t>by 2027, according to Trees4Good.</w:t>
      </w:r>
    </w:p>
    <w:p>
      <w:pPr>
        <w:pStyle w:val="BodyText"/>
        <w:spacing w:before="2"/>
      </w:pPr>
    </w:p>
    <w:p>
      <w:pPr>
        <w:pStyle w:val="BodyText"/>
        <w:spacing w:line="249" w:lineRule="auto"/>
        <w:ind w:left="345"/>
      </w:pPr>
      <w:r>
        <w:rPr/>
        <w:t>Trees4Good</w:t>
      </w:r>
      <w:r>
        <w:rPr>
          <w:spacing w:val="-18"/>
        </w:rPr>
        <w:t> </w:t>
      </w:r>
      <w:r>
        <w:rPr/>
        <w:t>expects</w:t>
      </w:r>
      <w:r>
        <w:rPr>
          <w:spacing w:val="-18"/>
        </w:rPr>
        <w:t> </w:t>
      </w:r>
      <w:r>
        <w:rPr/>
        <w:t>to</w:t>
      </w:r>
      <w:r>
        <w:rPr>
          <w:spacing w:val="-12"/>
        </w:rPr>
        <w:t> </w:t>
      </w:r>
      <w:r>
        <w:rPr/>
        <w:t>develop</w:t>
      </w:r>
      <w:r>
        <w:rPr>
          <w:spacing w:val="-13"/>
        </w:rPr>
        <w:t> </w:t>
      </w:r>
      <w:r>
        <w:rPr/>
        <w:t>key</w:t>
      </w:r>
      <w:r>
        <w:rPr>
          <w:spacing w:val="-15"/>
        </w:rPr>
        <w:t> </w:t>
      </w:r>
      <w:r>
        <w:rPr/>
        <w:t>partnerships</w:t>
      </w:r>
      <w:r>
        <w:rPr>
          <w:spacing w:val="-16"/>
        </w:rPr>
        <w:t> </w:t>
      </w:r>
      <w:r>
        <w:rPr/>
        <w:t>with</w:t>
      </w:r>
      <w:r>
        <w:rPr>
          <w:spacing w:val="-13"/>
        </w:rPr>
        <w:t> </w:t>
      </w:r>
      <w:r>
        <w:rPr/>
        <w:t>leading</w:t>
      </w:r>
      <w:r>
        <w:rPr>
          <w:spacing w:val="-16"/>
        </w:rPr>
        <w:t> </w:t>
      </w:r>
      <w:r>
        <w:rPr/>
        <w:t>industry</w:t>
      </w:r>
      <w:r>
        <w:rPr>
          <w:spacing w:val="-18"/>
        </w:rPr>
        <w:t> </w:t>
      </w:r>
      <w:r>
        <w:rPr/>
        <w:t>organisations,</w:t>
      </w:r>
      <w:r>
        <w:rPr>
          <w:spacing w:val="-18"/>
        </w:rPr>
        <w:t> </w:t>
      </w:r>
      <w:r>
        <w:rPr/>
        <w:t>including</w:t>
      </w:r>
      <w:r>
        <w:rPr>
          <w:spacing w:val="-18"/>
        </w:rPr>
        <w:t> </w:t>
      </w:r>
      <w:r>
        <w:rPr/>
        <w:t>the</w:t>
      </w:r>
      <w:r>
        <w:rPr>
          <w:spacing w:val="-14"/>
        </w:rPr>
        <w:t> </w:t>
      </w:r>
      <w:r>
        <w:rPr/>
        <w:t>National</w:t>
      </w:r>
      <w:r>
        <w:rPr>
          <w:spacing w:val="-14"/>
        </w:rPr>
        <w:t> </w:t>
      </w:r>
      <w:r>
        <w:rPr/>
        <w:t>Trust</w:t>
      </w:r>
      <w:r>
        <w:rPr>
          <w:spacing w:val="-13"/>
        </w:rPr>
        <w:t> </w:t>
      </w:r>
      <w:r>
        <w:rPr/>
        <w:t>and</w:t>
      </w:r>
      <w:r>
        <w:rPr>
          <w:spacing w:val="-20"/>
        </w:rPr>
        <w:t> </w:t>
      </w:r>
      <w:r>
        <w:rPr/>
        <w:t>the </w:t>
      </w:r>
      <w:r>
        <w:rPr>
          <w:spacing w:val="-2"/>
        </w:rPr>
        <w:t>Woodland</w:t>
      </w:r>
      <w:r>
        <w:rPr>
          <w:spacing w:val="-13"/>
        </w:rPr>
        <w:t> </w:t>
      </w:r>
      <w:r>
        <w:rPr>
          <w:spacing w:val="-2"/>
        </w:rPr>
        <w:t>Trust</w:t>
      </w:r>
      <w:r>
        <w:rPr>
          <w:spacing w:val="-11"/>
        </w:rPr>
        <w:t> </w:t>
      </w:r>
      <w:r>
        <w:rPr>
          <w:spacing w:val="-2"/>
        </w:rPr>
        <w:t>as</w:t>
      </w:r>
      <w:r>
        <w:rPr>
          <w:spacing w:val="-12"/>
        </w:rPr>
        <w:t> </w:t>
      </w:r>
      <w:r>
        <w:rPr>
          <w:spacing w:val="-2"/>
        </w:rPr>
        <w:t>part</w:t>
      </w:r>
      <w:r>
        <w:rPr>
          <w:spacing w:val="-12"/>
        </w:rPr>
        <w:t> </w:t>
      </w:r>
      <w:r>
        <w:rPr>
          <w:spacing w:val="-2"/>
        </w:rPr>
        <w:t>of</w:t>
      </w:r>
      <w:r>
        <w:rPr>
          <w:spacing w:val="-11"/>
        </w:rPr>
        <w:t> </w:t>
      </w:r>
      <w:r>
        <w:rPr>
          <w:spacing w:val="-2"/>
        </w:rPr>
        <w:t>its</w:t>
      </w:r>
      <w:r>
        <w:rPr>
          <w:spacing w:val="-11"/>
        </w:rPr>
        <w:t> </w:t>
      </w:r>
      <w:r>
        <w:rPr>
          <w:spacing w:val="-2"/>
        </w:rPr>
        <w:t>business</w:t>
      </w:r>
      <w:r>
        <w:rPr>
          <w:spacing w:val="-11"/>
        </w:rPr>
        <w:t> </w:t>
      </w:r>
      <w:r>
        <w:rPr>
          <w:spacing w:val="-2"/>
        </w:rPr>
        <w:t>strategy.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Woodland</w:t>
      </w:r>
      <w:r>
        <w:rPr>
          <w:spacing w:val="-14"/>
        </w:rPr>
        <w:t> </w:t>
      </w:r>
      <w:r>
        <w:rPr>
          <w:spacing w:val="-2"/>
        </w:rPr>
        <w:t>Trust</w:t>
      </w:r>
      <w:r>
        <w:rPr>
          <w:spacing w:val="-12"/>
        </w:rPr>
        <w:t> </w:t>
      </w:r>
      <w:r>
        <w:rPr>
          <w:spacing w:val="-2"/>
        </w:rPr>
        <w:t>offers</w:t>
      </w:r>
      <w:r>
        <w:rPr>
          <w:spacing w:val="-12"/>
        </w:rPr>
        <w:t> </w:t>
      </w:r>
      <w:r>
        <w:rPr>
          <w:spacing w:val="-2"/>
        </w:rPr>
        <w:t>lots</w:t>
      </w:r>
      <w:r>
        <w:rPr>
          <w:spacing w:val="-13"/>
        </w:rPr>
        <w:t> </w:t>
      </w:r>
      <w:r>
        <w:rPr>
          <w:spacing w:val="-2"/>
        </w:rPr>
        <w:t>of</w:t>
      </w:r>
      <w:r>
        <w:rPr>
          <w:spacing w:val="-12"/>
        </w:rPr>
        <w:t> </w:t>
      </w:r>
      <w:r>
        <w:rPr>
          <w:spacing w:val="-2"/>
        </w:rPr>
        <w:t>charitable</w:t>
      </w:r>
      <w:r>
        <w:rPr>
          <w:spacing w:val="-14"/>
        </w:rPr>
        <w:t> </w:t>
      </w:r>
      <w:r>
        <w:rPr>
          <w:spacing w:val="-2"/>
        </w:rPr>
        <w:t>interest</w:t>
      </w:r>
      <w:r>
        <w:rPr>
          <w:spacing w:val="-12"/>
        </w:rPr>
        <w:t> </w:t>
      </w:r>
      <w:r>
        <w:rPr>
          <w:spacing w:val="-2"/>
        </w:rPr>
        <w:t>and</w:t>
      </w:r>
      <w:r>
        <w:rPr>
          <w:spacing w:val="-15"/>
        </w:rPr>
        <w:t> </w:t>
      </w:r>
      <w:r>
        <w:rPr>
          <w:spacing w:val="-2"/>
        </w:rPr>
        <w:t>support,</w:t>
      </w:r>
      <w:r>
        <w:rPr>
          <w:spacing w:val="-11"/>
        </w:rPr>
        <w:t> </w:t>
      </w:r>
      <w:r>
        <w:rPr>
          <w:spacing w:val="-2"/>
        </w:rPr>
        <w:t>and</w:t>
      </w:r>
      <w:r>
        <w:rPr>
          <w:spacing w:val="-14"/>
        </w:rPr>
        <w:t> </w:t>
      </w:r>
      <w:r>
        <w:rPr>
          <w:spacing w:val="-2"/>
        </w:rPr>
        <w:t>the </w:t>
      </w:r>
      <w:r>
        <w:rPr/>
        <w:t>government</w:t>
      </w:r>
      <w:r>
        <w:rPr>
          <w:spacing w:val="-17"/>
        </w:rPr>
        <w:t> </w:t>
      </w:r>
      <w:r>
        <w:rPr/>
        <w:t>supports</w:t>
      </w:r>
      <w:r>
        <w:rPr>
          <w:spacing w:val="-12"/>
        </w:rPr>
        <w:t> </w:t>
      </w:r>
      <w:r>
        <w:rPr/>
        <w:t>through</w:t>
      </w:r>
      <w:r>
        <w:rPr>
          <w:spacing w:val="-13"/>
        </w:rPr>
        <w:t> </w:t>
      </w:r>
      <w:r>
        <w:rPr/>
        <w:t>planning,</w:t>
      </w:r>
      <w:r>
        <w:rPr>
          <w:spacing w:val="-13"/>
        </w:rPr>
        <w:t> </w:t>
      </w:r>
      <w:r>
        <w:rPr/>
        <w:t>grants</w:t>
      </w:r>
      <w:r>
        <w:rPr>
          <w:spacing w:val="-12"/>
        </w:rPr>
        <w:t> </w:t>
      </w:r>
      <w:r>
        <w:rPr/>
        <w:t>and</w:t>
      </w:r>
      <w:r>
        <w:rPr>
          <w:spacing w:val="-13"/>
        </w:rPr>
        <w:t> </w:t>
      </w:r>
      <w:r>
        <w:rPr/>
        <w:t>favourable</w:t>
      </w:r>
      <w:r>
        <w:rPr>
          <w:spacing w:val="-15"/>
        </w:rPr>
        <w:t> </w:t>
      </w:r>
      <w:r>
        <w:rPr/>
        <w:t>tax</w:t>
      </w:r>
      <w:r>
        <w:rPr>
          <w:spacing w:val="-15"/>
        </w:rPr>
        <w:t> </w:t>
      </w:r>
      <w:r>
        <w:rPr/>
        <w:t>treatment.</w:t>
      </w:r>
      <w:r>
        <w:rPr>
          <w:spacing w:val="-10"/>
        </w:rPr>
        <w:t> </w:t>
      </w:r>
      <w:r>
        <w:rPr/>
        <w:t>However,</w:t>
      </w:r>
      <w:r>
        <w:rPr>
          <w:spacing w:val="-10"/>
        </w:rPr>
        <w:t> </w:t>
      </w:r>
      <w:r>
        <w:rPr/>
        <w:t>grants</w:t>
      </w:r>
      <w:r>
        <w:rPr>
          <w:spacing w:val="-13"/>
        </w:rPr>
        <w:t> </w:t>
      </w:r>
      <w:r>
        <w:rPr/>
        <w:t>are</w:t>
      </w:r>
      <w:r>
        <w:rPr>
          <w:spacing w:val="-13"/>
        </w:rPr>
        <w:t> </w:t>
      </w:r>
      <w:r>
        <w:rPr/>
        <w:t>conditional</w:t>
      </w:r>
      <w:r>
        <w:rPr>
          <w:spacing w:val="-15"/>
        </w:rPr>
        <w:t> </w:t>
      </w:r>
      <w:r>
        <w:rPr/>
        <w:t>upon</w:t>
      </w:r>
      <w:r>
        <w:rPr>
          <w:spacing w:val="-13"/>
        </w:rPr>
        <w:t> </w:t>
      </w:r>
      <w:r>
        <w:rPr/>
        <w:t>‘new land’</w:t>
      </w:r>
      <w:r>
        <w:rPr>
          <w:spacing w:val="-1"/>
        </w:rPr>
        <w:t> </w:t>
      </w:r>
      <w:r>
        <w:rPr/>
        <w:t>which was previously used for</w:t>
      </w:r>
      <w:r>
        <w:rPr>
          <w:spacing w:val="-5"/>
        </w:rPr>
        <w:t> </w:t>
      </w:r>
      <w:r>
        <w:rPr/>
        <w:t>other</w:t>
      </w:r>
      <w:r>
        <w:rPr>
          <w:spacing w:val="-1"/>
        </w:rPr>
        <w:t> </w:t>
      </w:r>
      <w:r>
        <w:rPr/>
        <w:t>purposes.</w:t>
      </w:r>
    </w:p>
    <w:p>
      <w:pPr>
        <w:pStyle w:val="BodyText"/>
      </w:pPr>
    </w:p>
    <w:p>
      <w:pPr>
        <w:spacing w:before="1"/>
        <w:ind w:left="345" w:right="0" w:firstLine="0"/>
        <w:jc w:val="both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Source: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Trees4Good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company</w:t>
      </w:r>
      <w:r>
        <w:rPr>
          <w:i/>
          <w:spacing w:val="-19"/>
          <w:sz w:val="22"/>
        </w:rPr>
        <w:t> </w:t>
      </w:r>
      <w:r>
        <w:rPr>
          <w:i/>
          <w:spacing w:val="-2"/>
          <w:sz w:val="22"/>
        </w:rPr>
        <w:t>overview</w:t>
      </w:r>
      <w:r>
        <w:rPr>
          <w:spacing w:val="-2"/>
          <w:sz w:val="22"/>
        </w:rPr>
        <w:t>)</w:t>
      </w:r>
    </w:p>
    <w:p>
      <w:pPr>
        <w:spacing w:after="0"/>
        <w:jc w:val="both"/>
        <w:rPr>
          <w:sz w:val="22"/>
        </w:rPr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2"/>
        <w:spacing w:before="235"/>
      </w:pPr>
      <w:r>
        <w:rPr>
          <w:w w:val="90"/>
        </w:rPr>
        <w:t>The</w:t>
      </w:r>
      <w:r>
        <w:rPr>
          <w:spacing w:val="2"/>
        </w:rPr>
        <w:t> </w:t>
      </w:r>
      <w:r>
        <w:rPr>
          <w:spacing w:val="-2"/>
        </w:rPr>
        <w:t>Market</w:t>
      </w:r>
    </w:p>
    <w:p>
      <w:pPr>
        <w:pStyle w:val="BodyText"/>
        <w:spacing w:line="249" w:lineRule="auto" w:before="235"/>
        <w:ind w:left="345"/>
      </w:pPr>
      <w:r>
        <w:rPr/>
        <w:t>To</w:t>
      </w:r>
      <w:r>
        <w:rPr>
          <w:spacing w:val="-14"/>
        </w:rPr>
        <w:t> </w:t>
      </w:r>
      <w:r>
        <w:rPr/>
        <w:t>provide</w:t>
      </w:r>
      <w:r>
        <w:rPr>
          <w:spacing w:val="-15"/>
        </w:rPr>
        <w:t> </w:t>
      </w:r>
      <w:r>
        <w:rPr/>
        <w:t>some</w:t>
      </w:r>
      <w:r>
        <w:rPr>
          <w:spacing w:val="-15"/>
        </w:rPr>
        <w:t> </w:t>
      </w:r>
      <w:r>
        <w:rPr/>
        <w:t>context</w:t>
      </w:r>
      <w:r>
        <w:rPr>
          <w:spacing w:val="-13"/>
        </w:rPr>
        <w:t> </w:t>
      </w:r>
      <w:r>
        <w:rPr/>
        <w:t>for</w:t>
      </w:r>
      <w:r>
        <w:rPr>
          <w:spacing w:val="-13"/>
        </w:rPr>
        <w:t> </w:t>
      </w:r>
      <w:r>
        <w:rPr/>
        <w:t>the</w:t>
      </w:r>
      <w:r>
        <w:rPr>
          <w:spacing w:val="-15"/>
        </w:rPr>
        <w:t> </w:t>
      </w:r>
      <w:r>
        <w:rPr/>
        <w:t>market</w:t>
      </w:r>
      <w:r>
        <w:rPr>
          <w:spacing w:val="-13"/>
        </w:rPr>
        <w:t> </w:t>
      </w:r>
      <w:r>
        <w:rPr/>
        <w:t>Trees4Good</w:t>
      </w:r>
      <w:r>
        <w:rPr>
          <w:spacing w:val="-15"/>
        </w:rPr>
        <w:t> </w:t>
      </w:r>
      <w:r>
        <w:rPr/>
        <w:t>operates</w:t>
      </w:r>
      <w:r>
        <w:rPr>
          <w:spacing w:val="-12"/>
        </w:rPr>
        <w:t> </w:t>
      </w:r>
      <w:r>
        <w:rPr/>
        <w:t>in</w:t>
      </w:r>
      <w:r>
        <w:rPr>
          <w:spacing w:val="-10"/>
        </w:rPr>
        <w:t> </w:t>
      </w:r>
      <w:r>
        <w:rPr/>
        <w:t>we</w:t>
      </w:r>
      <w:r>
        <w:rPr>
          <w:spacing w:val="-13"/>
        </w:rPr>
        <w:t> </w:t>
      </w:r>
      <w:r>
        <w:rPr/>
        <w:t>present</w:t>
      </w:r>
      <w:r>
        <w:rPr>
          <w:spacing w:val="-10"/>
        </w:rPr>
        <w:t> </w:t>
      </w:r>
      <w:r>
        <w:rPr/>
        <w:t>the</w:t>
      </w:r>
      <w:r>
        <w:rPr>
          <w:spacing w:val="-13"/>
        </w:rPr>
        <w:t> </w:t>
      </w:r>
      <w:r>
        <w:rPr/>
        <w:t>following</w:t>
      </w:r>
      <w:r>
        <w:rPr>
          <w:spacing w:val="-10"/>
        </w:rPr>
        <w:t> </w:t>
      </w:r>
      <w:r>
        <w:rPr/>
        <w:t>which</w:t>
      </w:r>
      <w:r>
        <w:rPr>
          <w:spacing w:val="-10"/>
        </w:rPr>
        <w:t> </w:t>
      </w:r>
      <w:r>
        <w:rPr/>
        <w:t>has</w:t>
      </w:r>
      <w:r>
        <w:rPr>
          <w:spacing w:val="-12"/>
        </w:rPr>
        <w:t> </w:t>
      </w:r>
      <w:r>
        <w:rPr/>
        <w:t>been</w:t>
      </w:r>
      <w:r>
        <w:rPr>
          <w:spacing w:val="-10"/>
        </w:rPr>
        <w:t> </w:t>
      </w:r>
      <w:r>
        <w:rPr/>
        <w:t>paraphrased</w:t>
      </w:r>
      <w:r>
        <w:rPr>
          <w:spacing w:val="-12"/>
        </w:rPr>
        <w:t> </w:t>
      </w:r>
      <w:r>
        <w:rPr/>
        <w:t>from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IBISWorld</w:t>
      </w:r>
      <w:r>
        <w:rPr>
          <w:spacing w:val="-14"/>
        </w:rPr>
        <w:t> </w:t>
      </w:r>
      <w:r>
        <w:rPr>
          <w:spacing w:val="-4"/>
        </w:rPr>
        <w:t>report</w:t>
      </w:r>
      <w:r>
        <w:rPr>
          <w:spacing w:val="-13"/>
        </w:rPr>
        <w:t> </w:t>
      </w:r>
      <w:r>
        <w:rPr>
          <w:spacing w:val="-4"/>
        </w:rPr>
        <w:t>‘A02.000</w:t>
      </w:r>
      <w:r>
        <w:rPr>
          <w:spacing w:val="-16"/>
        </w:rPr>
        <w:t> </w:t>
      </w:r>
      <w:r>
        <w:rPr>
          <w:spacing w:val="-4"/>
        </w:rPr>
        <w:t>Forestry</w:t>
      </w:r>
      <w:r>
        <w:rPr>
          <w:spacing w:val="-14"/>
        </w:rPr>
        <w:t> </w:t>
      </w:r>
      <w:r>
        <w:rPr>
          <w:spacing w:val="-4"/>
        </w:rPr>
        <w:t>&amp;</w:t>
      </w:r>
      <w:r>
        <w:rPr>
          <w:spacing w:val="-14"/>
        </w:rPr>
        <w:t> </w:t>
      </w:r>
      <w:r>
        <w:rPr>
          <w:spacing w:val="-4"/>
        </w:rPr>
        <w:t>Logging</w:t>
      </w:r>
      <w:r>
        <w:rPr>
          <w:spacing w:val="-16"/>
        </w:rPr>
        <w:t> </w:t>
      </w:r>
      <w:r>
        <w:rPr>
          <w:spacing w:val="-4"/>
        </w:rPr>
        <w:t>in</w:t>
      </w:r>
      <w:r>
        <w:rPr>
          <w:spacing w:val="-14"/>
        </w:rPr>
        <w:t> </w:t>
      </w:r>
      <w:r>
        <w:rPr>
          <w:spacing w:val="-4"/>
        </w:rPr>
        <w:t>the</w:t>
      </w:r>
      <w:r>
        <w:rPr>
          <w:spacing w:val="-16"/>
        </w:rPr>
        <w:t> </w:t>
      </w:r>
      <w:r>
        <w:rPr>
          <w:spacing w:val="-4"/>
        </w:rPr>
        <w:t>UK’,</w:t>
      </w:r>
      <w:r>
        <w:rPr>
          <w:spacing w:val="-16"/>
        </w:rPr>
        <w:t> </w:t>
      </w:r>
      <w:r>
        <w:rPr>
          <w:spacing w:val="-4"/>
        </w:rPr>
        <w:t>September</w:t>
      </w:r>
      <w:r>
        <w:rPr>
          <w:spacing w:val="-17"/>
        </w:rPr>
        <w:t> </w:t>
      </w:r>
      <w:r>
        <w:rPr>
          <w:spacing w:val="-4"/>
        </w:rPr>
        <w:t>2024:</w:t>
      </w:r>
    </w:p>
    <w:p>
      <w:pPr>
        <w:spacing w:line="240" w:lineRule="auto"/>
        <w:ind w:left="34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466569" cy="1941385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6569" cy="194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243"/>
        <w:ind w:left="345" w:right="0" w:firstLine="0"/>
        <w:jc w:val="left"/>
        <w:rPr>
          <w:i/>
          <w:sz w:val="22"/>
        </w:rPr>
      </w:pPr>
      <w:r>
        <w:rPr>
          <w:i/>
          <w:spacing w:val="-2"/>
          <w:sz w:val="22"/>
          <w:u w:val="single"/>
        </w:rPr>
        <w:t>Executive</w:t>
      </w:r>
      <w:r>
        <w:rPr>
          <w:i/>
          <w:spacing w:val="-9"/>
          <w:sz w:val="22"/>
          <w:u w:val="single"/>
        </w:rPr>
        <w:t> </w:t>
      </w:r>
      <w:r>
        <w:rPr>
          <w:i/>
          <w:spacing w:val="-2"/>
          <w:sz w:val="22"/>
          <w:u w:val="single"/>
        </w:rPr>
        <w:t>Summary</w:t>
      </w:r>
    </w:p>
    <w:p>
      <w:pPr>
        <w:pStyle w:val="BodyText"/>
        <w:spacing w:before="19"/>
        <w:rPr>
          <w:i/>
        </w:rPr>
      </w:pPr>
    </w:p>
    <w:p>
      <w:pPr>
        <w:spacing w:line="249" w:lineRule="auto" w:before="0"/>
        <w:ind w:left="345" w:right="148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Forestry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Logging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industry's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revenue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set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expand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compound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annual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rate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3.1%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over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five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years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through</w:t>
      </w:r>
      <w:r>
        <w:rPr>
          <w:i/>
          <w:sz w:val="22"/>
        </w:rPr>
        <w:t> 2024-25,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owing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wave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new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forestry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companies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UK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government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projects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growing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value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timber </w:t>
      </w:r>
      <w:r>
        <w:rPr>
          <w:i/>
          <w:spacing w:val="-6"/>
          <w:sz w:val="22"/>
        </w:rPr>
        <w:t>support</w:t>
      </w:r>
      <w:r>
        <w:rPr>
          <w:i/>
          <w:spacing w:val="-17"/>
          <w:sz w:val="22"/>
        </w:rPr>
        <w:t> </w:t>
      </w:r>
      <w:r>
        <w:rPr>
          <w:i/>
          <w:spacing w:val="-6"/>
          <w:sz w:val="22"/>
        </w:rPr>
        <w:t>the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industry's</w:t>
      </w:r>
      <w:r>
        <w:rPr>
          <w:i/>
          <w:spacing w:val="-16"/>
          <w:sz w:val="22"/>
        </w:rPr>
        <w:t> </w:t>
      </w:r>
      <w:r>
        <w:rPr>
          <w:i/>
          <w:spacing w:val="-6"/>
          <w:sz w:val="22"/>
        </w:rPr>
        <w:t>expansion.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The</w:t>
      </w:r>
      <w:r>
        <w:rPr>
          <w:i/>
          <w:spacing w:val="-14"/>
          <w:sz w:val="22"/>
        </w:rPr>
        <w:t> </w:t>
      </w:r>
      <w:r>
        <w:rPr>
          <w:i/>
          <w:spacing w:val="-6"/>
          <w:sz w:val="22"/>
        </w:rPr>
        <w:t>Forestry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and</w:t>
      </w:r>
      <w:r>
        <w:rPr>
          <w:i/>
          <w:spacing w:val="-13"/>
          <w:sz w:val="22"/>
        </w:rPr>
        <w:t> </w:t>
      </w:r>
      <w:r>
        <w:rPr>
          <w:i/>
          <w:spacing w:val="-6"/>
          <w:sz w:val="22"/>
        </w:rPr>
        <w:t>Logging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industry's</w:t>
      </w:r>
      <w:r>
        <w:rPr>
          <w:i/>
          <w:spacing w:val="-14"/>
          <w:sz w:val="22"/>
        </w:rPr>
        <w:t> </w:t>
      </w:r>
      <w:r>
        <w:rPr>
          <w:i/>
          <w:spacing w:val="-6"/>
          <w:sz w:val="22"/>
        </w:rPr>
        <w:t>revenue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is</w:t>
      </w:r>
      <w:r>
        <w:rPr>
          <w:i/>
          <w:spacing w:val="-17"/>
          <w:sz w:val="22"/>
        </w:rPr>
        <w:t> </w:t>
      </w:r>
      <w:r>
        <w:rPr>
          <w:i/>
          <w:spacing w:val="-6"/>
          <w:sz w:val="22"/>
        </w:rPr>
        <w:t>estimated</w:t>
      </w:r>
      <w:r>
        <w:rPr>
          <w:i/>
          <w:spacing w:val="-14"/>
          <w:sz w:val="22"/>
        </w:rPr>
        <w:t> </w:t>
      </w:r>
      <w:r>
        <w:rPr>
          <w:i/>
          <w:spacing w:val="-6"/>
          <w:sz w:val="22"/>
        </w:rPr>
        <w:t>to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rise</w:t>
      </w:r>
      <w:r>
        <w:rPr>
          <w:i/>
          <w:spacing w:val="-13"/>
          <w:sz w:val="22"/>
        </w:rPr>
        <w:t> </w:t>
      </w:r>
      <w:r>
        <w:rPr>
          <w:i/>
          <w:spacing w:val="-6"/>
          <w:sz w:val="22"/>
        </w:rPr>
        <w:t>by</w:t>
      </w:r>
      <w:r>
        <w:rPr>
          <w:i/>
          <w:spacing w:val="-17"/>
          <w:sz w:val="22"/>
        </w:rPr>
        <w:t> </w:t>
      </w:r>
      <w:r>
        <w:rPr>
          <w:i/>
          <w:spacing w:val="-6"/>
          <w:sz w:val="22"/>
        </w:rPr>
        <w:t>5%</w:t>
      </w:r>
      <w:r>
        <w:rPr>
          <w:i/>
          <w:spacing w:val="-17"/>
          <w:sz w:val="22"/>
        </w:rPr>
        <w:t> </w:t>
      </w:r>
      <w:r>
        <w:rPr>
          <w:i/>
          <w:spacing w:val="-6"/>
          <w:sz w:val="22"/>
        </w:rPr>
        <w:t>in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2024-25</w:t>
      </w:r>
      <w:r>
        <w:rPr>
          <w:i/>
          <w:spacing w:val="-17"/>
          <w:sz w:val="22"/>
        </w:rPr>
        <w:t> </w:t>
      </w:r>
      <w:r>
        <w:rPr>
          <w:i/>
          <w:spacing w:val="-6"/>
          <w:sz w:val="22"/>
        </w:rPr>
        <w:t>to</w:t>
      </w:r>
      <w:r>
        <w:rPr>
          <w:i/>
          <w:spacing w:val="-14"/>
          <w:sz w:val="22"/>
        </w:rPr>
        <w:t> </w:t>
      </w:r>
      <w:r>
        <w:rPr>
          <w:i/>
          <w:spacing w:val="-6"/>
          <w:sz w:val="22"/>
        </w:rPr>
        <w:t>total</w:t>
      </w:r>
      <w:r>
        <w:rPr>
          <w:i/>
          <w:spacing w:val="-15"/>
          <w:sz w:val="22"/>
        </w:rPr>
        <w:t> </w:t>
      </w:r>
      <w:r>
        <w:rPr>
          <w:i/>
          <w:spacing w:val="-6"/>
          <w:sz w:val="22"/>
        </w:rPr>
        <w:t>£2.3 </w:t>
      </w:r>
      <w:r>
        <w:rPr>
          <w:i/>
          <w:spacing w:val="-2"/>
          <w:sz w:val="22"/>
        </w:rPr>
        <w:t>billion,</w:t>
      </w:r>
      <w:r>
        <w:rPr>
          <w:i/>
          <w:spacing w:val="-18"/>
          <w:sz w:val="22"/>
        </w:rPr>
        <w:t> </w:t>
      </w:r>
      <w:r>
        <w:rPr>
          <w:i/>
          <w:spacing w:val="-2"/>
          <w:sz w:val="22"/>
        </w:rPr>
        <w:t>with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the</w:t>
      </w:r>
      <w:r>
        <w:rPr>
          <w:i/>
          <w:spacing w:val="-19"/>
          <w:sz w:val="22"/>
        </w:rPr>
        <w:t> </w:t>
      </w:r>
      <w:r>
        <w:rPr>
          <w:i/>
          <w:spacing w:val="-2"/>
          <w:sz w:val="22"/>
        </w:rPr>
        <w:t>average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industry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profit</w:t>
      </w:r>
      <w:r>
        <w:rPr>
          <w:i/>
          <w:spacing w:val="-16"/>
          <w:sz w:val="22"/>
        </w:rPr>
        <w:t> </w:t>
      </w:r>
      <w:r>
        <w:rPr>
          <w:i/>
          <w:spacing w:val="-2"/>
          <w:sz w:val="22"/>
        </w:rPr>
        <w:t>margin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set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to</w:t>
      </w:r>
      <w:r>
        <w:rPr>
          <w:i/>
          <w:spacing w:val="-16"/>
          <w:sz w:val="22"/>
        </w:rPr>
        <w:t> </w:t>
      </w:r>
      <w:r>
        <w:rPr>
          <w:i/>
          <w:spacing w:val="-2"/>
          <w:sz w:val="22"/>
        </w:rPr>
        <w:t>be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14.7%.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Revenue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is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expected</w:t>
      </w:r>
      <w:r>
        <w:rPr>
          <w:i/>
          <w:spacing w:val="-16"/>
          <w:sz w:val="22"/>
        </w:rPr>
        <w:t> </w:t>
      </w:r>
      <w:r>
        <w:rPr>
          <w:i/>
          <w:spacing w:val="-2"/>
          <w:sz w:val="22"/>
        </w:rPr>
        <w:t>to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swell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in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2024-25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as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a</w:t>
      </w:r>
      <w:r>
        <w:rPr>
          <w:i/>
          <w:spacing w:val="-18"/>
          <w:sz w:val="22"/>
        </w:rPr>
        <w:t> </w:t>
      </w:r>
      <w:r>
        <w:rPr>
          <w:i/>
          <w:spacing w:val="-2"/>
          <w:sz w:val="22"/>
        </w:rPr>
        <w:t>result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of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higher </w:t>
      </w:r>
      <w:r>
        <w:rPr>
          <w:i/>
          <w:sz w:val="22"/>
        </w:rPr>
        <w:t>timber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prices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surging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downstream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demand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commercial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forests,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well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continued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government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support.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Profit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is also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set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inch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up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key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input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prices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like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seeds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pesticides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—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surged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2022-23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—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begin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normalise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2024-25.</w:t>
      </w:r>
    </w:p>
    <w:p>
      <w:pPr>
        <w:pStyle w:val="BodyText"/>
        <w:spacing w:before="1"/>
        <w:rPr>
          <w:i/>
        </w:rPr>
      </w:pPr>
    </w:p>
    <w:p>
      <w:pPr>
        <w:spacing w:line="249" w:lineRule="auto" w:before="0"/>
        <w:ind w:left="345" w:right="148" w:firstLine="0"/>
        <w:jc w:val="left"/>
        <w:rPr>
          <w:i/>
          <w:sz w:val="22"/>
        </w:rPr>
      </w:pPr>
      <w:r>
        <w:rPr>
          <w:i/>
          <w:sz w:val="22"/>
        </w:rPr>
        <w:t>Following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EU</w:t>
      </w:r>
      <w:r>
        <w:rPr>
          <w:i/>
          <w:spacing w:val="-9"/>
          <w:sz w:val="22"/>
        </w:rPr>
        <w:t> </w:t>
      </w:r>
      <w:r>
        <w:rPr>
          <w:i/>
          <w:sz w:val="22"/>
        </w:rPr>
        <w:t>referendum,</w:t>
      </w:r>
      <w:r>
        <w:rPr>
          <w:i/>
          <w:spacing w:val="-1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weak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value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pound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has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supported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log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exports.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While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import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competition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remains</w:t>
      </w:r>
      <w:r>
        <w:rPr>
          <w:i/>
          <w:sz w:val="22"/>
        </w:rPr>
        <w:t> high,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Russia-Ukraine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conflict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means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that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imports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timber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from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Russia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have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halted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as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part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20"/>
          <w:sz w:val="22"/>
        </w:rPr>
        <w:t> </w:t>
      </w:r>
      <w:r>
        <w:rPr>
          <w:i/>
          <w:sz w:val="22"/>
        </w:rPr>
        <w:t>sanctions,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boosting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the </w:t>
      </w:r>
      <w:r>
        <w:rPr>
          <w:i/>
          <w:spacing w:val="-4"/>
          <w:sz w:val="22"/>
        </w:rPr>
        <w:t>domestic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market.</w:t>
      </w:r>
      <w:r>
        <w:rPr>
          <w:i/>
          <w:spacing w:val="-14"/>
          <w:sz w:val="22"/>
        </w:rPr>
        <w:t> </w:t>
      </w:r>
      <w:r>
        <w:rPr>
          <w:i/>
          <w:spacing w:val="-4"/>
          <w:sz w:val="22"/>
        </w:rPr>
        <w:t>This,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along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with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rising</w:t>
      </w:r>
      <w:r>
        <w:rPr>
          <w:i/>
          <w:spacing w:val="-12"/>
          <w:sz w:val="22"/>
        </w:rPr>
        <w:t> </w:t>
      </w:r>
      <w:r>
        <w:rPr>
          <w:i/>
          <w:spacing w:val="-4"/>
          <w:sz w:val="22"/>
        </w:rPr>
        <w:t>shipping</w:t>
      </w:r>
      <w:r>
        <w:rPr>
          <w:i/>
          <w:spacing w:val="-12"/>
          <w:sz w:val="22"/>
        </w:rPr>
        <w:t> </w:t>
      </w:r>
      <w:r>
        <w:rPr>
          <w:i/>
          <w:spacing w:val="-4"/>
          <w:sz w:val="22"/>
        </w:rPr>
        <w:t>and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freight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costs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over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the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past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few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years,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is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set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to</w:t>
      </w:r>
      <w:r>
        <w:rPr>
          <w:i/>
          <w:spacing w:val="-10"/>
          <w:sz w:val="22"/>
        </w:rPr>
        <w:t> </w:t>
      </w:r>
      <w:r>
        <w:rPr>
          <w:i/>
          <w:spacing w:val="-4"/>
          <w:sz w:val="22"/>
        </w:rPr>
        <w:t>drive</w:t>
      </w:r>
      <w:r>
        <w:rPr>
          <w:i/>
          <w:spacing w:val="-15"/>
          <w:sz w:val="22"/>
        </w:rPr>
        <w:t> </w:t>
      </w:r>
      <w:r>
        <w:rPr>
          <w:i/>
          <w:spacing w:val="-4"/>
          <w:sz w:val="22"/>
        </w:rPr>
        <w:t>downstream</w:t>
      </w:r>
      <w:r>
        <w:rPr>
          <w:i/>
          <w:spacing w:val="-12"/>
          <w:sz w:val="22"/>
        </w:rPr>
        <w:t> </w:t>
      </w:r>
      <w:r>
        <w:rPr>
          <w:i/>
          <w:spacing w:val="-4"/>
          <w:sz w:val="22"/>
        </w:rPr>
        <w:t>buyers </w:t>
      </w:r>
      <w:r>
        <w:rPr>
          <w:i/>
          <w:sz w:val="22"/>
        </w:rPr>
        <w:t>to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seek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local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timber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alternatives,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boosting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the commercial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forest segment.</w:t>
      </w:r>
    </w:p>
    <w:p>
      <w:pPr>
        <w:spacing w:after="0" w:line="249" w:lineRule="auto"/>
        <w:jc w:val="left"/>
        <w:rPr>
          <w:i/>
          <w:sz w:val="22"/>
        </w:rPr>
        <w:sectPr>
          <w:pgSz w:w="15840" w:h="12240" w:orient="landscape"/>
          <w:pgMar w:header="1255" w:footer="1419" w:top="1880" w:bottom="1600" w:left="720" w:right="1080"/>
        </w:sectPr>
      </w:pPr>
    </w:p>
    <w:p>
      <w:pPr>
        <w:spacing w:line="247" w:lineRule="auto" w:before="234"/>
        <w:ind w:left="345" w:right="0" w:firstLine="0"/>
        <w:jc w:val="left"/>
        <w:rPr>
          <w:i/>
          <w:sz w:val="22"/>
        </w:rPr>
      </w:pPr>
      <w:r>
        <w:rPr>
          <w:i/>
          <w:sz w:val="22"/>
        </w:rPr>
        <w:t>The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Forestry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Logging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industry's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revenue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expected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grow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a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compound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annual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rate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3.2%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£2.7</w:t>
      </w:r>
      <w:r>
        <w:rPr>
          <w:i/>
          <w:spacing w:val="-19"/>
          <w:sz w:val="22"/>
        </w:rPr>
        <w:t> </w:t>
      </w:r>
      <w:r>
        <w:rPr>
          <w:i/>
          <w:sz w:val="22"/>
        </w:rPr>
        <w:t>billion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over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the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five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years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through</w:t>
      </w:r>
      <w:r>
        <w:rPr>
          <w:i/>
          <w:spacing w:val="-16"/>
          <w:sz w:val="22"/>
        </w:rPr>
        <w:t> </w:t>
      </w:r>
      <w:r>
        <w:rPr>
          <w:i/>
          <w:spacing w:val="-2"/>
          <w:sz w:val="22"/>
        </w:rPr>
        <w:t>2029-30.</w:t>
      </w:r>
      <w:r>
        <w:rPr>
          <w:i/>
          <w:spacing w:val="-13"/>
          <w:sz w:val="22"/>
        </w:rPr>
        <w:t> </w:t>
      </w:r>
      <w:r>
        <w:rPr>
          <w:i/>
          <w:spacing w:val="-2"/>
          <w:sz w:val="22"/>
        </w:rPr>
        <w:t>Growing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environmental</w:t>
      </w:r>
      <w:r>
        <w:rPr>
          <w:i/>
          <w:spacing w:val="-17"/>
          <w:sz w:val="22"/>
        </w:rPr>
        <w:t> </w:t>
      </w:r>
      <w:r>
        <w:rPr>
          <w:i/>
          <w:spacing w:val="-2"/>
          <w:sz w:val="22"/>
        </w:rPr>
        <w:t>awareness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is</w:t>
      </w:r>
      <w:r>
        <w:rPr>
          <w:i/>
          <w:spacing w:val="-13"/>
          <w:sz w:val="22"/>
        </w:rPr>
        <w:t> </w:t>
      </w:r>
      <w:r>
        <w:rPr>
          <w:i/>
          <w:spacing w:val="-2"/>
          <w:sz w:val="22"/>
        </w:rPr>
        <w:t>likely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to</w:t>
      </w:r>
      <w:r>
        <w:rPr>
          <w:i/>
          <w:spacing w:val="-10"/>
          <w:sz w:val="22"/>
        </w:rPr>
        <w:t> </w:t>
      </w:r>
      <w:r>
        <w:rPr>
          <w:i/>
          <w:spacing w:val="-2"/>
          <w:sz w:val="22"/>
        </w:rPr>
        <w:t>benefit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forestry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companies</w:t>
      </w:r>
      <w:r>
        <w:rPr>
          <w:i/>
          <w:spacing w:val="-16"/>
          <w:sz w:val="22"/>
        </w:rPr>
        <w:t> </w:t>
      </w:r>
      <w:r>
        <w:rPr>
          <w:i/>
          <w:spacing w:val="-2"/>
          <w:sz w:val="22"/>
        </w:rPr>
        <w:t>as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new</w:t>
      </w:r>
      <w:r>
        <w:rPr>
          <w:i/>
          <w:spacing w:val="-14"/>
          <w:sz w:val="22"/>
        </w:rPr>
        <w:t> </w:t>
      </w:r>
      <w:r>
        <w:rPr>
          <w:i/>
          <w:spacing w:val="-2"/>
          <w:sz w:val="22"/>
        </w:rPr>
        <w:t>woodland</w:t>
      </w:r>
      <w:r>
        <w:rPr>
          <w:i/>
          <w:spacing w:val="-13"/>
          <w:sz w:val="22"/>
        </w:rPr>
        <w:t> </w:t>
      </w:r>
      <w:r>
        <w:rPr>
          <w:i/>
          <w:spacing w:val="-2"/>
          <w:sz w:val="22"/>
        </w:rPr>
        <w:t>areas </w:t>
      </w:r>
      <w:r>
        <w:rPr>
          <w:i/>
          <w:sz w:val="22"/>
        </w:rPr>
        <w:t>are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created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and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maintained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UK.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need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forestry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services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further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boosted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UK's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ambitious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goal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14"/>
          <w:sz w:val="22"/>
        </w:rPr>
        <w:t> </w:t>
      </w:r>
      <w:r>
        <w:rPr>
          <w:i/>
          <w:sz w:val="22"/>
        </w:rPr>
        <w:t>plant 30,000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hectares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woodlands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annually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by</w:t>
      </w:r>
      <w:r>
        <w:rPr>
          <w:i/>
          <w:spacing w:val="-13"/>
          <w:sz w:val="22"/>
        </w:rPr>
        <w:t> </w:t>
      </w:r>
      <w:r>
        <w:rPr>
          <w:i/>
          <w:sz w:val="22"/>
        </w:rPr>
        <w:t>2025,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although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it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may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fall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short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this.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Increased</w:t>
      </w:r>
      <w:r>
        <w:rPr>
          <w:i/>
          <w:spacing w:val="-15"/>
          <w:sz w:val="22"/>
        </w:rPr>
        <w:t> </w:t>
      </w:r>
      <w:r>
        <w:rPr>
          <w:i/>
          <w:sz w:val="22"/>
        </w:rPr>
        <w:t>emphasis</w:t>
      </w:r>
      <w:r>
        <w:rPr>
          <w:i/>
          <w:spacing w:val="-17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8"/>
          <w:sz w:val="22"/>
        </w:rPr>
        <w:t> </w:t>
      </w:r>
      <w:r>
        <w:rPr>
          <w:i/>
          <w:sz w:val="22"/>
        </w:rPr>
        <w:t>using</w:t>
      </w:r>
      <w:r>
        <w:rPr>
          <w:i/>
          <w:spacing w:val="-16"/>
          <w:sz w:val="22"/>
        </w:rPr>
        <w:t> </w:t>
      </w:r>
      <w:r>
        <w:rPr>
          <w:i/>
          <w:sz w:val="22"/>
        </w:rPr>
        <w:t>wooden products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construction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is likely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boost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revenue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for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logging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companies.</w:t>
      </w:r>
    </w:p>
    <w:p>
      <w:pPr>
        <w:spacing w:after="0" w:line="247" w:lineRule="auto"/>
        <w:jc w:val="left"/>
        <w:rPr>
          <w:i/>
          <w:sz w:val="22"/>
        </w:rPr>
        <w:sectPr>
          <w:headerReference w:type="default" r:id="rId17"/>
          <w:footerReference w:type="default" r:id="rId18"/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1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w w:val="90"/>
        </w:rPr>
        <w:t>FINANCIAL</w:t>
      </w:r>
      <w:r>
        <w:rPr>
          <w:spacing w:val="26"/>
        </w:rPr>
        <w:t> </w:t>
      </w:r>
      <w:r>
        <w:rPr>
          <w:w w:val="90"/>
        </w:rPr>
        <w:t>INFORMATION</w:t>
      </w:r>
      <w:r>
        <w:rPr>
          <w:spacing w:val="26"/>
        </w:rPr>
        <w:t> </w:t>
      </w:r>
      <w:r>
        <w:rPr>
          <w:w w:val="90"/>
        </w:rPr>
        <w:t>–</w:t>
      </w:r>
      <w:r>
        <w:rPr>
          <w:spacing w:val="30"/>
        </w:rPr>
        <w:t> </w:t>
      </w:r>
      <w:r>
        <w:rPr>
          <w:w w:val="90"/>
        </w:rPr>
        <w:t>PROJECT</w:t>
      </w:r>
      <w:r>
        <w:rPr>
          <w:spacing w:val="26"/>
        </w:rPr>
        <w:t> </w:t>
      </w:r>
      <w:r>
        <w:rPr>
          <w:spacing w:val="-2"/>
          <w:w w:val="90"/>
        </w:rPr>
        <w:t>FORECASTS</w:t>
      </w:r>
    </w:p>
    <w:p>
      <w:pPr>
        <w:pStyle w:val="Heading2"/>
        <w:spacing w:before="181"/>
      </w:pPr>
      <w:r>
        <w:rPr>
          <w:spacing w:val="-2"/>
        </w:rPr>
        <w:t>Forecasts</w:t>
      </w:r>
    </w:p>
    <w:p>
      <w:pPr>
        <w:pStyle w:val="BodyText"/>
        <w:spacing w:before="4"/>
        <w:rPr>
          <w:rFonts w:ascii="Tahoma"/>
          <w:b/>
          <w:sz w:val="19"/>
        </w:rPr>
      </w:pPr>
    </w:p>
    <w:tbl>
      <w:tblPr>
        <w:tblW w:w="0" w:type="auto"/>
        <w:jc w:val="left"/>
        <w:tblInd w:w="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8"/>
        <w:gridCol w:w="1554"/>
        <w:gridCol w:w="1137"/>
        <w:gridCol w:w="1095"/>
        <w:gridCol w:w="1048"/>
        <w:gridCol w:w="1064"/>
        <w:gridCol w:w="1985"/>
        <w:gridCol w:w="995"/>
        <w:gridCol w:w="998"/>
        <w:gridCol w:w="977"/>
      </w:tblGrid>
      <w:tr>
        <w:trPr>
          <w:trHeight w:val="208" w:hRule="atLeast"/>
        </w:trPr>
        <w:tc>
          <w:tcPr>
            <w:tcW w:w="13591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F059E"/>
          </w:tcPr>
          <w:p>
            <w:pPr>
              <w:pStyle w:val="TableParagraph"/>
              <w:spacing w:line="189" w:lineRule="exact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4"/>
                <w:sz w:val="18"/>
              </w:rPr>
              <w:t>Trees4Good</w:t>
            </w:r>
            <w:r>
              <w:rPr>
                <w:rFonts w:ascii="Tahoma"/>
                <w:b/>
                <w:color w:val="FFFFFF"/>
                <w:spacing w:val="-7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8"/>
              </w:rPr>
              <w:t>-</w:t>
            </w:r>
            <w:r>
              <w:rPr>
                <w:rFonts w:ascii="Tahoma"/>
                <w:b/>
                <w:color w:val="FFFFFF"/>
                <w:spacing w:val="-9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8"/>
              </w:rPr>
              <w:t>expanded</w:t>
            </w:r>
            <w:r>
              <w:rPr>
                <w:rFonts w:ascii="Tahoma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8"/>
              </w:rPr>
              <w:t>forecasts from n1</w:t>
            </w:r>
            <w:r>
              <w:rPr>
                <w:rFonts w:ascii="Tahoma"/>
                <w:b/>
                <w:color w:val="FFFFFF"/>
                <w:spacing w:val="-9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8"/>
              </w:rPr>
              <w:t>-</w:t>
            </w:r>
            <w:r>
              <w:rPr>
                <w:rFonts w:ascii="Tahoma"/>
                <w:b/>
                <w:color w:val="FFFFFF"/>
                <w:spacing w:val="-7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8"/>
              </w:rPr>
              <w:t>n10</w:t>
            </w:r>
            <w:r>
              <w:rPr>
                <w:rFonts w:ascii="Tahoma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8"/>
              </w:rPr>
              <w:t>years.</w:t>
            </w:r>
          </w:p>
        </w:tc>
      </w:tr>
      <w:tr>
        <w:trPr>
          <w:trHeight w:val="208" w:hRule="atLeast"/>
        </w:trPr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4"/>
                <w:sz w:val="18"/>
              </w:rPr>
              <w:t>YEAR</w:t>
            </w:r>
          </w:p>
        </w:tc>
        <w:tc>
          <w:tcPr>
            <w:tcW w:w="1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16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159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12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3</w:t>
            </w:r>
          </w:p>
        </w:tc>
        <w:tc>
          <w:tcPr>
            <w:tcW w:w="104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113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4</w:t>
            </w: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4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5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tabs>
                <w:tab w:pos="991" w:val="left" w:leader="none"/>
              </w:tabs>
              <w:spacing w:line="188" w:lineRule="exact"/>
              <w:ind w:right="4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6</w:t>
            </w:r>
            <w:r>
              <w:rPr>
                <w:rFonts w:ascii="Tahoma"/>
                <w:b/>
                <w:sz w:val="18"/>
              </w:rPr>
              <w:tab/>
            </w:r>
            <w:r>
              <w:rPr>
                <w:rFonts w:ascii="Tahoma"/>
                <w:b/>
                <w:spacing w:val="-10"/>
                <w:w w:val="95"/>
                <w:sz w:val="18"/>
              </w:rPr>
              <w:t>7</w:t>
            </w:r>
          </w:p>
        </w:tc>
        <w:tc>
          <w:tcPr>
            <w:tcW w:w="99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4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8</w:t>
            </w:r>
          </w:p>
        </w:tc>
        <w:tc>
          <w:tcPr>
            <w:tcW w:w="9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8" w:lineRule="exact"/>
              <w:ind w:right="4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9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88" w:lineRule="exact"/>
              <w:ind w:right="15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5"/>
                <w:w w:val="95"/>
                <w:sz w:val="18"/>
              </w:rPr>
              <w:t>10</w:t>
            </w:r>
          </w:p>
        </w:tc>
      </w:tr>
      <w:tr>
        <w:trPr>
          <w:trHeight w:val="429" w:hRule="atLeast"/>
        </w:trPr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sz w:val="18"/>
              </w:rPr>
              <w:t>Cumulative</w:t>
            </w:r>
            <w:r>
              <w:rPr>
                <w:rFonts w:ascii="Tahoma"/>
                <w:b/>
                <w:spacing w:val="1"/>
                <w:sz w:val="18"/>
              </w:rPr>
              <w:t> </w:t>
            </w:r>
            <w:r>
              <w:rPr>
                <w:rFonts w:ascii="Tahoma"/>
                <w:b/>
                <w:spacing w:val="-2"/>
                <w:sz w:val="18"/>
              </w:rPr>
              <w:t>cash</w:t>
            </w:r>
            <w:r>
              <w:rPr>
                <w:rFonts w:ascii="Tahoma"/>
                <w:b/>
                <w:sz w:val="18"/>
              </w:rPr>
              <w:t> </w:t>
            </w:r>
            <w:r>
              <w:rPr>
                <w:rFonts w:ascii="Tahoma"/>
                <w:b/>
                <w:spacing w:val="-4"/>
                <w:sz w:val="18"/>
              </w:rPr>
              <w:t>flows</w:t>
            </w:r>
          </w:p>
        </w:tc>
        <w:tc>
          <w:tcPr>
            <w:tcW w:w="155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16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1,888,000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159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2,257,000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12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3,634,000</w:t>
            </w:r>
          </w:p>
        </w:tc>
        <w:tc>
          <w:tcPr>
            <w:tcW w:w="104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113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8,146,000</w:t>
            </w: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4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12,500,000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4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0"/>
                <w:sz w:val="18"/>
              </w:rPr>
              <w:t>16,700,000</w:t>
            </w:r>
            <w:r>
              <w:rPr>
                <w:rFonts w:ascii="Tahoma"/>
                <w:b/>
                <w:spacing w:val="25"/>
                <w:sz w:val="18"/>
              </w:rPr>
              <w:t> </w:t>
            </w:r>
            <w:r>
              <w:rPr>
                <w:rFonts w:ascii="Tahoma"/>
                <w:b/>
                <w:spacing w:val="-2"/>
                <w:w w:val="90"/>
                <w:sz w:val="18"/>
              </w:rPr>
              <w:t>22,000,000</w:t>
            </w:r>
          </w:p>
        </w:tc>
        <w:tc>
          <w:tcPr>
            <w:tcW w:w="995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42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0"/>
                <w:sz w:val="18"/>
              </w:rPr>
              <w:t>26,000,000</w:t>
            </w:r>
          </w:p>
        </w:tc>
        <w:tc>
          <w:tcPr>
            <w:tcW w:w="99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4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0"/>
                <w:sz w:val="18"/>
              </w:rPr>
              <w:t>28,400,000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>
            <w:pPr>
              <w:pStyle w:val="TableParagraph"/>
              <w:spacing w:line="190" w:lineRule="exact" w:before="1"/>
              <w:ind w:right="15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0"/>
                <w:sz w:val="18"/>
              </w:rPr>
              <w:t>35,500,000</w:t>
            </w:r>
          </w:p>
        </w:tc>
      </w:tr>
      <w:tr>
        <w:trPr>
          <w:trHeight w:val="224" w:hRule="atLeast"/>
        </w:trPr>
        <w:tc>
          <w:tcPr>
            <w:tcW w:w="2738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02" w:lineRule="exact" w:before="2"/>
              <w:ind w:left="32"/>
              <w:rPr>
                <w:sz w:val="18"/>
              </w:rPr>
            </w:pPr>
            <w:r>
              <w:rPr>
                <w:sz w:val="18"/>
              </w:rPr>
              <w:t>Resale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cleared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land</w:t>
            </w:r>
          </w:p>
        </w:tc>
        <w:tc>
          <w:tcPr>
            <w:tcW w:w="155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4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8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77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02" w:lineRule="exact" w:before="2"/>
              <w:ind w:right="16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3,000,000</w:t>
            </w:r>
          </w:p>
        </w:tc>
      </w:tr>
      <w:tr>
        <w:trPr>
          <w:trHeight w:val="220" w:hRule="atLeast"/>
        </w:trPr>
        <w:tc>
          <w:tcPr>
            <w:tcW w:w="273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00" w:lineRule="exact"/>
              <w:ind w:left="32"/>
              <w:rPr>
                <w:sz w:val="18"/>
              </w:rPr>
            </w:pPr>
            <w:r>
              <w:rPr>
                <w:spacing w:val="-2"/>
                <w:sz w:val="18"/>
              </w:rPr>
              <w:t>Miscaleanous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(sporting)</w:t>
            </w:r>
          </w:p>
        </w:tc>
        <w:tc>
          <w:tcPr>
            <w:tcW w:w="15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line="200" w:lineRule="exact"/>
              <w:ind w:right="121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</w:p>
        </w:tc>
        <w:tc>
          <w:tcPr>
            <w:tcW w:w="1048" w:type="dxa"/>
          </w:tcPr>
          <w:p>
            <w:pPr>
              <w:pStyle w:val="TableParagraph"/>
              <w:spacing w:line="200" w:lineRule="exact"/>
              <w:ind w:right="114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</w:p>
        </w:tc>
        <w:tc>
          <w:tcPr>
            <w:tcW w:w="1064" w:type="dxa"/>
          </w:tcPr>
          <w:p>
            <w:pPr>
              <w:pStyle w:val="TableParagraph"/>
              <w:spacing w:line="200" w:lineRule="exact"/>
              <w:ind w:right="42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992" w:val="left" w:leader="none"/>
              </w:tabs>
              <w:spacing w:line="200" w:lineRule="exact"/>
              <w:ind w:right="43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  <w:r>
              <w:rPr>
                <w:sz w:val="18"/>
              </w:rPr>
              <w:tab/>
            </w:r>
            <w:r>
              <w:rPr>
                <w:spacing w:val="-2"/>
                <w:w w:val="95"/>
                <w:sz w:val="18"/>
              </w:rPr>
              <w:t>500,000</w:t>
            </w:r>
          </w:p>
        </w:tc>
        <w:tc>
          <w:tcPr>
            <w:tcW w:w="995" w:type="dxa"/>
          </w:tcPr>
          <w:p>
            <w:pPr>
              <w:pStyle w:val="TableParagraph"/>
              <w:spacing w:line="200" w:lineRule="exact"/>
              <w:ind w:right="43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</w:p>
        </w:tc>
        <w:tc>
          <w:tcPr>
            <w:tcW w:w="998" w:type="dxa"/>
          </w:tcPr>
          <w:p>
            <w:pPr>
              <w:pStyle w:val="TableParagraph"/>
              <w:spacing w:line="200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</w:p>
        </w:tc>
        <w:tc>
          <w:tcPr>
            <w:tcW w:w="9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00" w:lineRule="exact"/>
              <w:ind w:right="16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500,000</w:t>
            </w:r>
          </w:p>
        </w:tc>
      </w:tr>
      <w:tr>
        <w:trPr>
          <w:trHeight w:val="223" w:hRule="atLeast"/>
        </w:trPr>
        <w:tc>
          <w:tcPr>
            <w:tcW w:w="273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00" w:lineRule="exact" w:before="3"/>
              <w:ind w:left="32"/>
              <w:rPr>
                <w:sz w:val="18"/>
              </w:rPr>
            </w:pPr>
            <w:r>
              <w:rPr>
                <w:w w:val="80"/>
                <w:sz w:val="18"/>
              </w:rPr>
              <w:t>Less: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coupon</w:t>
            </w:r>
          </w:p>
        </w:tc>
        <w:tc>
          <w:tcPr>
            <w:tcW w:w="155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7" w:type="dxa"/>
          </w:tcPr>
          <w:p>
            <w:pPr>
              <w:pStyle w:val="TableParagraph"/>
              <w:spacing w:line="203" w:lineRule="exact"/>
              <w:ind w:right="16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(300,000)</w:t>
            </w:r>
          </w:p>
        </w:tc>
        <w:tc>
          <w:tcPr>
            <w:tcW w:w="1095" w:type="dxa"/>
          </w:tcPr>
          <w:p>
            <w:pPr>
              <w:pStyle w:val="TableParagraph"/>
              <w:spacing w:line="203" w:lineRule="exact"/>
              <w:ind w:right="12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  <w:tc>
          <w:tcPr>
            <w:tcW w:w="1048" w:type="dxa"/>
          </w:tcPr>
          <w:p>
            <w:pPr>
              <w:pStyle w:val="TableParagraph"/>
              <w:spacing w:line="203" w:lineRule="exact"/>
              <w:ind w:right="11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  <w:tc>
          <w:tcPr>
            <w:tcW w:w="1064" w:type="dxa"/>
          </w:tcPr>
          <w:p>
            <w:pPr>
              <w:pStyle w:val="TableParagraph"/>
              <w:spacing w:line="203" w:lineRule="exact"/>
              <w:ind w:right="4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991" w:val="left" w:leader="none"/>
              </w:tabs>
              <w:spacing w:line="203" w:lineRule="exact"/>
              <w:ind w:right="44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  <w:r>
              <w:rPr>
                <w:rFonts w:ascii="Tahoma"/>
                <w:b/>
                <w:color w:val="FF0000"/>
                <w:sz w:val="18"/>
              </w:rPr>
              <w:tab/>
            </w: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  <w:tc>
          <w:tcPr>
            <w:tcW w:w="995" w:type="dxa"/>
          </w:tcPr>
          <w:p>
            <w:pPr>
              <w:pStyle w:val="TableParagraph"/>
              <w:spacing w:line="203" w:lineRule="exact"/>
              <w:ind w:right="48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  <w:tc>
          <w:tcPr>
            <w:tcW w:w="998" w:type="dxa"/>
          </w:tcPr>
          <w:p>
            <w:pPr>
              <w:pStyle w:val="TableParagraph"/>
              <w:spacing w:line="203" w:lineRule="exact"/>
              <w:ind w:right="53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  <w:tc>
          <w:tcPr>
            <w:tcW w:w="977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203" w:lineRule="exact"/>
              <w:ind w:right="2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(450,000)</w:t>
            </w:r>
          </w:p>
        </w:tc>
      </w:tr>
      <w:tr>
        <w:trPr>
          <w:trHeight w:val="208" w:hRule="atLeast"/>
        </w:trPr>
        <w:tc>
          <w:tcPr>
            <w:tcW w:w="273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86" w:lineRule="exact" w:before="3"/>
              <w:ind w:left="32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less: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remaining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investment</w:t>
            </w:r>
          </w:p>
        </w:tc>
        <w:tc>
          <w:tcPr>
            <w:tcW w:w="1554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line="189" w:lineRule="exact"/>
              <w:ind w:right="16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(2,000,000)</w:t>
            </w:r>
          </w:p>
        </w:tc>
        <w:tc>
          <w:tcPr>
            <w:tcW w:w="1137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9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4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8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77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8" w:hRule="atLeast"/>
        </w:trPr>
        <w:tc>
          <w:tcPr>
            <w:tcW w:w="2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Net</w:t>
            </w:r>
            <w:r>
              <w:rPr>
                <w:rFonts w:ascii="Tahoma"/>
                <w:b/>
                <w:spacing w:val="-8"/>
                <w:sz w:val="18"/>
              </w:rPr>
              <w:t> </w:t>
            </w:r>
            <w:r>
              <w:rPr>
                <w:rFonts w:ascii="Tahoma"/>
                <w:b/>
                <w:sz w:val="18"/>
              </w:rPr>
              <w:t>cash</w:t>
            </w:r>
            <w:r>
              <w:rPr>
                <w:rFonts w:ascii="Tahoma"/>
                <w:b/>
                <w:spacing w:val="-5"/>
                <w:sz w:val="18"/>
              </w:rPr>
              <w:t> </w:t>
            </w:r>
            <w:r>
              <w:rPr>
                <w:rFonts w:ascii="Tahoma"/>
                <w:b/>
                <w:spacing w:val="-2"/>
                <w:sz w:val="18"/>
              </w:rPr>
              <w:t>flows</w:t>
            </w:r>
          </w:p>
        </w:tc>
        <w:tc>
          <w:tcPr>
            <w:tcW w:w="155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16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0000"/>
                <w:spacing w:val="-2"/>
                <w:w w:val="95"/>
                <w:sz w:val="18"/>
              </w:rPr>
              <w:t>(112,000)</w:t>
            </w: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16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69,000</w:t>
            </w:r>
          </w:p>
        </w:tc>
        <w:tc>
          <w:tcPr>
            <w:tcW w:w="10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12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1,427,000</w:t>
            </w:r>
          </w:p>
        </w:tc>
        <w:tc>
          <w:tcPr>
            <w:tcW w:w="104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11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4,562,000</w:t>
            </w:r>
          </w:p>
        </w:tc>
        <w:tc>
          <w:tcPr>
            <w:tcW w:w="106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41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4,404,000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40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w w:val="90"/>
                <w:sz w:val="18"/>
              </w:rPr>
              <w:t>4,250,000</w:t>
            </w:r>
            <w:r>
              <w:rPr>
                <w:rFonts w:ascii="Tahoma"/>
                <w:b/>
                <w:spacing w:val="29"/>
                <w:sz w:val="18"/>
              </w:rPr>
              <w:t>  </w:t>
            </w:r>
            <w:r>
              <w:rPr>
                <w:rFonts w:ascii="Tahoma"/>
                <w:b/>
                <w:spacing w:val="-2"/>
                <w:w w:val="95"/>
                <w:sz w:val="18"/>
              </w:rPr>
              <w:t>5,350,000</w:t>
            </w:r>
          </w:p>
        </w:tc>
        <w:tc>
          <w:tcPr>
            <w:tcW w:w="99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43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4,050,000</w:t>
            </w:r>
          </w:p>
        </w:tc>
        <w:tc>
          <w:tcPr>
            <w:tcW w:w="99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4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2,450,000</w:t>
            </w:r>
          </w:p>
        </w:tc>
        <w:tc>
          <w:tcPr>
            <w:tcW w:w="97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F7F2"/>
          </w:tcPr>
          <w:p>
            <w:pPr>
              <w:pStyle w:val="TableParagraph"/>
              <w:spacing w:line="188" w:lineRule="exact"/>
              <w:ind w:right="15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0"/>
                <w:sz w:val="18"/>
              </w:rPr>
              <w:t>10,150,000</w:t>
            </w:r>
          </w:p>
        </w:tc>
      </w:tr>
    </w:tbl>
    <w:p>
      <w:pPr>
        <w:pStyle w:val="BodyText"/>
        <w:spacing w:before="41"/>
        <w:rPr>
          <w:rFonts w:ascii="Tahoma"/>
          <w:b/>
        </w:rPr>
      </w:pPr>
    </w:p>
    <w:p>
      <w:pPr>
        <w:pStyle w:val="BodyText"/>
        <w:ind w:left="345"/>
      </w:pPr>
      <w:r>
        <w:rPr/>
        <w:t>These</w:t>
      </w:r>
      <w:r>
        <w:rPr>
          <w:spacing w:val="-7"/>
        </w:rPr>
        <w:t> </w:t>
      </w:r>
      <w:r>
        <w:rPr/>
        <w:t>are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/>
        <w:t>forecasts</w:t>
      </w:r>
      <w:r>
        <w:rPr>
          <w:spacing w:val="-7"/>
        </w:rPr>
        <w:t> </w:t>
      </w:r>
      <w:r>
        <w:rPr/>
        <w:t>provided</w:t>
      </w:r>
      <w:r>
        <w:rPr>
          <w:spacing w:val="-8"/>
        </w:rPr>
        <w:t> </w:t>
      </w:r>
      <w:r>
        <w:rPr/>
        <w:t>directly</w:t>
      </w:r>
      <w:r>
        <w:rPr>
          <w:spacing w:val="-8"/>
        </w:rPr>
        <w:t> </w:t>
      </w:r>
      <w:r>
        <w:rPr/>
        <w:t>by</w:t>
      </w:r>
      <w:r>
        <w:rPr>
          <w:spacing w:val="-6"/>
        </w:rPr>
        <w:t> </w:t>
      </w:r>
      <w:r>
        <w:rPr/>
        <w:t>Management</w:t>
      </w:r>
      <w:r>
        <w:rPr>
          <w:spacing w:val="-4"/>
        </w:rPr>
        <w:t> </w:t>
      </w:r>
      <w:r>
        <w:rPr/>
        <w:t>and</w:t>
      </w:r>
      <w:r>
        <w:rPr>
          <w:spacing w:val="-7"/>
        </w:rPr>
        <w:t> </w:t>
      </w:r>
      <w:r>
        <w:rPr/>
        <w:t>we</w:t>
      </w:r>
      <w:r>
        <w:rPr>
          <w:spacing w:val="-4"/>
        </w:rPr>
        <w:t> </w:t>
      </w:r>
      <w:r>
        <w:rPr/>
        <w:t>have</w:t>
      </w:r>
      <w:r>
        <w:rPr>
          <w:spacing w:val="-9"/>
        </w:rPr>
        <w:t> </w:t>
      </w:r>
      <w:r>
        <w:rPr/>
        <w:t>included</w:t>
      </w:r>
      <w:r>
        <w:rPr>
          <w:spacing w:val="-5"/>
        </w:rPr>
        <w:t> </w:t>
      </w:r>
      <w:r>
        <w:rPr/>
        <w:t>further</w:t>
      </w:r>
      <w:r>
        <w:rPr>
          <w:spacing w:val="-10"/>
        </w:rPr>
        <w:t> </w:t>
      </w:r>
      <w:r>
        <w:rPr/>
        <w:t>details</w:t>
      </w:r>
      <w:r>
        <w:rPr>
          <w:spacing w:val="-6"/>
        </w:rPr>
        <w:t> </w:t>
      </w:r>
      <w:r>
        <w:rPr>
          <w:spacing w:val="-2"/>
        </w:rPr>
        <w:t>below: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</w:tabs>
        <w:spacing w:line="240" w:lineRule="auto" w:before="6" w:after="0"/>
        <w:ind w:left="1020" w:right="0" w:hanging="337"/>
        <w:jc w:val="left"/>
        <w:rPr>
          <w:sz w:val="22"/>
        </w:rPr>
      </w:pPr>
      <w:r>
        <w:rPr>
          <w:sz w:val="22"/>
        </w:rPr>
        <w:t>We</w:t>
      </w:r>
      <w:r>
        <w:rPr>
          <w:spacing w:val="-3"/>
          <w:sz w:val="22"/>
        </w:rPr>
        <w:t> </w:t>
      </w:r>
      <w:r>
        <w:rPr>
          <w:sz w:val="22"/>
        </w:rPr>
        <w:t>note</w:t>
      </w:r>
      <w:r>
        <w:rPr>
          <w:spacing w:val="-3"/>
          <w:sz w:val="22"/>
        </w:rPr>
        <w:t> </w:t>
      </w:r>
      <w:r>
        <w:rPr>
          <w:sz w:val="22"/>
        </w:rPr>
        <w:t>that the</w:t>
      </w:r>
      <w:r>
        <w:rPr>
          <w:spacing w:val="-3"/>
          <w:sz w:val="22"/>
        </w:rPr>
        <w:t> </w:t>
      </w:r>
      <w:r>
        <w:rPr>
          <w:sz w:val="22"/>
        </w:rPr>
        <w:t>forecasts</w:t>
      </w:r>
      <w:r>
        <w:rPr>
          <w:spacing w:val="1"/>
          <w:sz w:val="22"/>
        </w:rPr>
        <w:t> </w:t>
      </w:r>
      <w:r>
        <w:rPr>
          <w:sz w:val="22"/>
        </w:rPr>
        <w:t>provided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Management are at a</w:t>
      </w:r>
      <w:r>
        <w:rPr>
          <w:spacing w:val="-3"/>
          <w:sz w:val="22"/>
        </w:rPr>
        <w:t> </w:t>
      </w:r>
      <w:r>
        <w:rPr>
          <w:sz w:val="22"/>
        </w:rPr>
        <w:t>free</w:t>
      </w:r>
      <w:r>
        <w:rPr>
          <w:spacing w:val="-1"/>
          <w:sz w:val="22"/>
        </w:rPr>
        <w:t> </w:t>
      </w:r>
      <w:r>
        <w:rPr>
          <w:sz w:val="22"/>
        </w:rPr>
        <w:t>cash</w:t>
      </w:r>
      <w:r>
        <w:rPr>
          <w:spacing w:val="-2"/>
          <w:sz w:val="22"/>
        </w:rPr>
        <w:t> </w:t>
      </w:r>
      <w:r>
        <w:rPr>
          <w:sz w:val="22"/>
        </w:rPr>
        <w:t>flow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level.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9" w:lineRule="auto" w:before="11" w:after="0"/>
        <w:ind w:left="1022" w:right="371" w:hanging="339"/>
        <w:jc w:val="left"/>
        <w:rPr>
          <w:sz w:val="22"/>
        </w:rPr>
      </w:pPr>
      <w:r>
        <w:rPr>
          <w:sz w:val="22"/>
        </w:rPr>
        <w:t>The forecasts provided by Management are cumulative, so we we calculated the change in cumulative cash flows on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1"/>
          <w:sz w:val="22"/>
        </w:rPr>
        <w:t> </w:t>
      </w:r>
      <w:r>
        <w:rPr>
          <w:sz w:val="22"/>
        </w:rPr>
        <w:t>annual</w:t>
      </w:r>
      <w:r>
        <w:rPr>
          <w:spacing w:val="40"/>
          <w:sz w:val="22"/>
        </w:rPr>
        <w:t> </w:t>
      </w:r>
      <w:r>
        <w:rPr>
          <w:sz w:val="22"/>
        </w:rPr>
        <w:t>basis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get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forecast net</w:t>
      </w:r>
      <w:r>
        <w:rPr>
          <w:spacing w:val="-1"/>
          <w:sz w:val="22"/>
        </w:rPr>
        <w:t> </w:t>
      </w:r>
      <w:r>
        <w:rPr>
          <w:sz w:val="22"/>
        </w:rPr>
        <w:t>cash</w:t>
      </w:r>
      <w:r>
        <w:rPr>
          <w:spacing w:val="-1"/>
          <w:sz w:val="22"/>
        </w:rPr>
        <w:t> </w:t>
      </w:r>
      <w:r>
        <w:rPr>
          <w:sz w:val="22"/>
        </w:rPr>
        <w:t>flow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our</w:t>
      </w:r>
      <w:r>
        <w:rPr>
          <w:spacing w:val="-5"/>
          <w:sz w:val="22"/>
        </w:rPr>
        <w:t> </w:t>
      </w:r>
      <w:r>
        <w:rPr>
          <w:sz w:val="22"/>
        </w:rPr>
        <w:t>valuation</w:t>
      </w:r>
      <w:r>
        <w:rPr>
          <w:spacing w:val="-1"/>
          <w:sz w:val="22"/>
        </w:rPr>
        <w:t> </w:t>
      </w:r>
      <w:r>
        <w:rPr>
          <w:sz w:val="22"/>
        </w:rPr>
        <w:t>purposes.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9" w:lineRule="auto" w:before="0" w:after="0"/>
        <w:ind w:left="1022" w:right="191" w:hanging="339"/>
        <w:jc w:val="left"/>
        <w:rPr>
          <w:sz w:val="22"/>
        </w:rPr>
      </w:pPr>
      <w:r>
        <w:rPr>
          <w:sz w:val="22"/>
        </w:rPr>
        <w:t>£2m has been removed from the Y1 cash flows as the cumulative cash flows provided by Management included </w:t>
      </w:r>
      <w:r>
        <w:rPr>
          <w:spacing w:val="-2"/>
          <w:sz w:val="22"/>
        </w:rPr>
        <w:t>expected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£9m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subscription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of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shares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net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£7m</w:t>
      </w:r>
      <w:r>
        <w:rPr>
          <w:spacing w:val="-12"/>
          <w:sz w:val="22"/>
        </w:rPr>
        <w:t> </w:t>
      </w:r>
      <w:r>
        <w:rPr>
          <w:spacing w:val="-2"/>
          <w:sz w:val="22"/>
        </w:rPr>
        <w:t>investment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in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Craigmill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land.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We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have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subsequently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adjusted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for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the </w:t>
      </w:r>
      <w:r>
        <w:rPr>
          <w:sz w:val="22"/>
        </w:rPr>
        <w:t>remaining</w:t>
      </w:r>
      <w:r>
        <w:rPr>
          <w:spacing w:val="-20"/>
          <w:sz w:val="22"/>
        </w:rPr>
        <w:t> </w:t>
      </w:r>
      <w:r>
        <w:rPr>
          <w:sz w:val="22"/>
        </w:rPr>
        <w:t>£2m</w:t>
      </w:r>
      <w:r>
        <w:rPr>
          <w:spacing w:val="-19"/>
          <w:sz w:val="22"/>
        </w:rPr>
        <w:t> </w:t>
      </w:r>
      <w:r>
        <w:rPr>
          <w:sz w:val="22"/>
        </w:rPr>
        <w:t>from</w:t>
      </w:r>
      <w:r>
        <w:rPr>
          <w:spacing w:val="-19"/>
          <w:sz w:val="22"/>
        </w:rPr>
        <w:t> </w:t>
      </w:r>
      <w:r>
        <w:rPr>
          <w:sz w:val="22"/>
        </w:rPr>
        <w:t>the</w:t>
      </w:r>
      <w:r>
        <w:rPr>
          <w:spacing w:val="-20"/>
          <w:sz w:val="22"/>
        </w:rPr>
        <w:t> </w:t>
      </w:r>
      <w:r>
        <w:rPr>
          <w:sz w:val="22"/>
        </w:rPr>
        <w:t>subscription</w:t>
      </w:r>
      <w:r>
        <w:rPr>
          <w:spacing w:val="-19"/>
          <w:sz w:val="22"/>
        </w:rPr>
        <w:t> </w:t>
      </w:r>
      <w:r>
        <w:rPr>
          <w:sz w:val="22"/>
        </w:rPr>
        <w:t>of</w:t>
      </w:r>
      <w:r>
        <w:rPr>
          <w:spacing w:val="-20"/>
          <w:sz w:val="22"/>
        </w:rPr>
        <w:t> </w:t>
      </w:r>
      <w:r>
        <w:rPr>
          <w:sz w:val="22"/>
        </w:rPr>
        <w:t>shares</w:t>
      </w:r>
      <w:r>
        <w:rPr>
          <w:spacing w:val="-19"/>
          <w:sz w:val="22"/>
        </w:rPr>
        <w:t> </w:t>
      </w:r>
      <w:r>
        <w:rPr>
          <w:sz w:val="22"/>
        </w:rPr>
        <w:t>for</w:t>
      </w:r>
      <w:r>
        <w:rPr>
          <w:spacing w:val="-19"/>
          <w:sz w:val="22"/>
        </w:rPr>
        <w:t> </w:t>
      </w:r>
      <w:r>
        <w:rPr>
          <w:sz w:val="22"/>
        </w:rPr>
        <w:t>our</w:t>
      </w:r>
      <w:r>
        <w:rPr>
          <w:spacing w:val="-20"/>
          <w:sz w:val="22"/>
        </w:rPr>
        <w:t> </w:t>
      </w:r>
      <w:r>
        <w:rPr>
          <w:sz w:val="22"/>
        </w:rPr>
        <w:t>valuation</w:t>
      </w:r>
      <w:r>
        <w:rPr>
          <w:spacing w:val="-19"/>
          <w:sz w:val="22"/>
        </w:rPr>
        <w:t> </w:t>
      </w:r>
      <w:r>
        <w:rPr>
          <w:sz w:val="22"/>
        </w:rPr>
        <w:t>purposes.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9" w:lineRule="auto" w:before="0" w:after="0"/>
        <w:ind w:left="1022" w:right="347" w:hanging="339"/>
        <w:jc w:val="both"/>
        <w:rPr>
          <w:sz w:val="22"/>
        </w:rPr>
      </w:pPr>
      <w:r>
        <w:rPr>
          <w:sz w:val="22"/>
        </w:rPr>
        <w:t>Management reported</w:t>
      </w:r>
      <w:r>
        <w:rPr>
          <w:spacing w:val="-2"/>
          <w:sz w:val="22"/>
        </w:rPr>
        <w:t> </w:t>
      </w:r>
      <w:r>
        <w:rPr>
          <w:sz w:val="22"/>
        </w:rPr>
        <w:t>that forecasted timber sales have been reflected in the</w:t>
      </w:r>
      <w:r>
        <w:rPr>
          <w:spacing w:val="-3"/>
          <w:sz w:val="22"/>
        </w:rPr>
        <w:t> </w:t>
      </w:r>
      <w:r>
        <w:rPr>
          <w:sz w:val="22"/>
        </w:rPr>
        <w:t>cumulative cash flow forecasts with </w:t>
      </w:r>
      <w:r>
        <w:rPr>
          <w:spacing w:val="-2"/>
          <w:sz w:val="22"/>
        </w:rPr>
        <w:t>300Ha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sold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evenly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between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Y4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–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Y10.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Management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reported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that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cash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flows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reflects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300Ha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x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924m³</w:t>
      </w:r>
      <w:r>
        <w:rPr>
          <w:spacing w:val="-18"/>
          <w:sz w:val="22"/>
        </w:rPr>
        <w:t> </w:t>
      </w:r>
      <w:r>
        <w:rPr>
          <w:spacing w:val="-2"/>
          <w:sz w:val="22"/>
        </w:rPr>
        <w:t>per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Ha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x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£87 </w:t>
      </w:r>
      <w:r>
        <w:rPr>
          <w:sz w:val="22"/>
        </w:rPr>
        <w:t>per m³ roadside stacked net of costs.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7" w:lineRule="auto" w:before="0" w:after="0"/>
        <w:ind w:left="1022" w:right="616" w:hanging="339"/>
        <w:jc w:val="left"/>
        <w:rPr>
          <w:sz w:val="22"/>
        </w:rPr>
      </w:pPr>
      <w:r>
        <w:rPr>
          <w:sz w:val="22"/>
        </w:rPr>
        <w:t>Management</w:t>
      </w:r>
      <w:r>
        <w:rPr>
          <w:spacing w:val="-6"/>
          <w:sz w:val="22"/>
        </w:rPr>
        <w:t> </w:t>
      </w:r>
      <w:r>
        <w:rPr>
          <w:sz w:val="22"/>
        </w:rPr>
        <w:t>reported</w:t>
      </w:r>
      <w:r>
        <w:rPr>
          <w:spacing w:val="-11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net</w:t>
      </w:r>
      <w:r>
        <w:rPr>
          <w:spacing w:val="-10"/>
          <w:sz w:val="22"/>
        </w:rPr>
        <w:t> </w:t>
      </w:r>
      <w:r>
        <w:rPr>
          <w:sz w:val="22"/>
        </w:rPr>
        <w:t>planning</w:t>
      </w:r>
      <w:r>
        <w:rPr>
          <w:spacing w:val="-13"/>
          <w:sz w:val="22"/>
        </w:rPr>
        <w:t> </w:t>
      </w:r>
      <w:r>
        <w:rPr>
          <w:sz w:val="22"/>
        </w:rPr>
        <w:t>cash</w:t>
      </w:r>
      <w:r>
        <w:rPr>
          <w:spacing w:val="-6"/>
          <w:sz w:val="22"/>
        </w:rPr>
        <w:t> </w:t>
      </w:r>
      <w:r>
        <w:rPr>
          <w:sz w:val="22"/>
        </w:rPr>
        <w:t>flows</w:t>
      </w:r>
      <w:r>
        <w:rPr>
          <w:spacing w:val="-9"/>
          <w:sz w:val="22"/>
        </w:rPr>
        <w:t> </w:t>
      </w:r>
      <w:r>
        <w:rPr>
          <w:sz w:val="22"/>
        </w:rPr>
        <w:t>included</w:t>
      </w:r>
      <w:r>
        <w:rPr>
          <w:spacing w:val="-11"/>
          <w:sz w:val="22"/>
        </w:rPr>
        <w:t> </w:t>
      </w:r>
      <w:r>
        <w:rPr>
          <w:sz w:val="22"/>
        </w:rPr>
        <w:t>in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forecasts</w:t>
      </w:r>
      <w:r>
        <w:rPr>
          <w:spacing w:val="-11"/>
          <w:sz w:val="22"/>
        </w:rPr>
        <w:t> </w:t>
      </w:r>
      <w:r>
        <w:rPr>
          <w:sz w:val="22"/>
        </w:rPr>
        <w:t>are</w:t>
      </w:r>
      <w:r>
        <w:rPr>
          <w:spacing w:val="-12"/>
          <w:sz w:val="22"/>
        </w:rPr>
        <w:t> </w:t>
      </w:r>
      <w:r>
        <w:rPr>
          <w:sz w:val="22"/>
        </w:rPr>
        <w:t>net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12"/>
          <w:sz w:val="22"/>
        </w:rPr>
        <w:t> </w:t>
      </w:r>
      <w:r>
        <w:rPr>
          <w:sz w:val="22"/>
        </w:rPr>
        <w:t>costs</w:t>
      </w:r>
      <w:r>
        <w:rPr>
          <w:spacing w:val="-11"/>
          <w:sz w:val="22"/>
        </w:rPr>
        <w:t> </w:t>
      </w:r>
      <w:r>
        <w:rPr>
          <w:sz w:val="22"/>
        </w:rPr>
        <w:t>(preperation,</w:t>
      </w:r>
      <w:r>
        <w:rPr>
          <w:spacing w:val="-12"/>
          <w:sz w:val="22"/>
        </w:rPr>
        <w:t> </w:t>
      </w:r>
      <w:r>
        <w:rPr>
          <w:sz w:val="22"/>
        </w:rPr>
        <w:t>taxes, submission,</w:t>
      </w:r>
      <w:r>
        <w:rPr>
          <w:spacing w:val="-22"/>
          <w:sz w:val="22"/>
        </w:rPr>
        <w:t> </w:t>
      </w:r>
      <w:r>
        <w:rPr>
          <w:sz w:val="22"/>
        </w:rPr>
        <w:t>third</w:t>
      </w:r>
      <w:r>
        <w:rPr>
          <w:spacing w:val="-19"/>
          <w:sz w:val="22"/>
        </w:rPr>
        <w:t> </w:t>
      </w:r>
      <w:r>
        <w:rPr>
          <w:sz w:val="22"/>
        </w:rPr>
        <w:t>party</w:t>
      </w:r>
      <w:r>
        <w:rPr>
          <w:spacing w:val="-19"/>
          <w:sz w:val="22"/>
        </w:rPr>
        <w:t> </w:t>
      </w:r>
      <w:r>
        <w:rPr>
          <w:sz w:val="22"/>
        </w:rPr>
        <w:t>fees).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9" w:lineRule="auto" w:before="0" w:after="0"/>
        <w:ind w:left="1022" w:right="438" w:hanging="339"/>
        <w:jc w:val="left"/>
        <w:rPr>
          <w:sz w:val="22"/>
        </w:rPr>
      </w:pPr>
      <w:r>
        <w:rPr>
          <w:sz w:val="22"/>
        </w:rPr>
        <w:t>We note that Management expect a resale or cleared land of £3m in year 10. Management reported that the cumulative</w:t>
      </w:r>
      <w:r>
        <w:rPr>
          <w:spacing w:val="-15"/>
          <w:sz w:val="22"/>
        </w:rPr>
        <w:t> </w:t>
      </w:r>
      <w:r>
        <w:rPr>
          <w:sz w:val="22"/>
        </w:rPr>
        <w:t>cash</w:t>
      </w:r>
      <w:r>
        <w:rPr>
          <w:spacing w:val="-7"/>
          <w:sz w:val="22"/>
        </w:rPr>
        <w:t> </w:t>
      </w:r>
      <w:r>
        <w:rPr>
          <w:sz w:val="22"/>
        </w:rPr>
        <w:t>flows</w:t>
      </w:r>
      <w:r>
        <w:rPr>
          <w:spacing w:val="-10"/>
          <w:sz w:val="22"/>
        </w:rPr>
        <w:t> </w:t>
      </w:r>
      <w:r>
        <w:rPr>
          <w:sz w:val="22"/>
        </w:rPr>
        <w:t>did</w:t>
      </w:r>
      <w:r>
        <w:rPr>
          <w:spacing w:val="-7"/>
          <w:sz w:val="22"/>
        </w:rPr>
        <w:t> </w:t>
      </w:r>
      <w:r>
        <w:rPr>
          <w:sz w:val="22"/>
        </w:rPr>
        <w:t>not</w:t>
      </w:r>
      <w:r>
        <w:rPr>
          <w:spacing w:val="-12"/>
          <w:sz w:val="22"/>
        </w:rPr>
        <w:t> </w:t>
      </w:r>
      <w:r>
        <w:rPr>
          <w:sz w:val="22"/>
        </w:rPr>
        <w:t>reflect</w:t>
      </w:r>
      <w:r>
        <w:rPr>
          <w:spacing w:val="-10"/>
          <w:sz w:val="22"/>
        </w:rPr>
        <w:t> </w:t>
      </w:r>
      <w:r>
        <w:rPr>
          <w:sz w:val="22"/>
        </w:rPr>
        <w:t>this</w:t>
      </w:r>
      <w:r>
        <w:rPr>
          <w:spacing w:val="-12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has</w:t>
      </w:r>
      <w:r>
        <w:rPr>
          <w:spacing w:val="-10"/>
          <w:sz w:val="22"/>
        </w:rPr>
        <w:t> </w:t>
      </w:r>
      <w:r>
        <w:rPr>
          <w:sz w:val="22"/>
        </w:rPr>
        <w:t>been</w:t>
      </w:r>
      <w:r>
        <w:rPr>
          <w:spacing w:val="-10"/>
          <w:sz w:val="22"/>
        </w:rPr>
        <w:t> </w:t>
      </w:r>
      <w:r>
        <w:rPr>
          <w:sz w:val="22"/>
        </w:rPr>
        <w:t>adjusted</w:t>
      </w:r>
      <w:r>
        <w:rPr>
          <w:spacing w:val="-5"/>
          <w:sz w:val="22"/>
        </w:rPr>
        <w:t> </w:t>
      </w:r>
      <w:r>
        <w:rPr>
          <w:sz w:val="22"/>
        </w:rPr>
        <w:t>seperately</w:t>
      </w:r>
      <w:r>
        <w:rPr>
          <w:spacing w:val="-10"/>
          <w:sz w:val="22"/>
        </w:rPr>
        <w:t> </w:t>
      </w:r>
      <w:r>
        <w:rPr>
          <w:sz w:val="22"/>
        </w:rPr>
        <w:t>to</w:t>
      </w:r>
      <w:r>
        <w:rPr>
          <w:spacing w:val="-11"/>
          <w:sz w:val="22"/>
        </w:rPr>
        <w:t> </w:t>
      </w:r>
      <w:r>
        <w:rPr>
          <w:sz w:val="22"/>
        </w:rPr>
        <w:t>be</w:t>
      </w:r>
      <w:r>
        <w:rPr>
          <w:spacing w:val="-12"/>
          <w:sz w:val="22"/>
        </w:rPr>
        <w:t> </w:t>
      </w:r>
      <w:r>
        <w:rPr>
          <w:sz w:val="22"/>
        </w:rPr>
        <w:t>included</w:t>
      </w:r>
      <w:r>
        <w:rPr>
          <w:spacing w:val="-12"/>
          <w:sz w:val="22"/>
        </w:rPr>
        <w:t> </w:t>
      </w:r>
      <w:r>
        <w:rPr>
          <w:sz w:val="22"/>
        </w:rPr>
        <w:t>in</w:t>
      </w:r>
      <w:r>
        <w:rPr>
          <w:spacing w:val="-12"/>
          <w:sz w:val="22"/>
        </w:rPr>
        <w:t> </w:t>
      </w: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net</w:t>
      </w:r>
      <w:r>
        <w:rPr>
          <w:spacing w:val="-12"/>
          <w:sz w:val="22"/>
        </w:rPr>
        <w:t> </w:t>
      </w:r>
      <w:r>
        <w:rPr>
          <w:sz w:val="22"/>
        </w:rPr>
        <w:t>cash</w:t>
      </w:r>
      <w:r>
        <w:rPr>
          <w:spacing w:val="-10"/>
          <w:sz w:val="22"/>
        </w:rPr>
        <w:t> </w:t>
      </w:r>
      <w:r>
        <w:rPr>
          <w:sz w:val="22"/>
        </w:rPr>
        <w:t>flows</w:t>
      </w:r>
      <w:r>
        <w:rPr>
          <w:spacing w:val="-10"/>
          <w:sz w:val="22"/>
        </w:rPr>
        <w:t> </w:t>
      </w:r>
      <w:r>
        <w:rPr>
          <w:sz w:val="22"/>
        </w:rPr>
        <w:t>for our valuation purposes.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7" w:lineRule="auto" w:before="0" w:after="0"/>
        <w:ind w:left="1022" w:right="139" w:hanging="339"/>
        <w:jc w:val="left"/>
        <w:rPr>
          <w:sz w:val="22"/>
        </w:rPr>
      </w:pPr>
      <w:r>
        <w:rPr>
          <w:sz w:val="22"/>
        </w:rPr>
        <w:t>Management</w:t>
      </w:r>
      <w:r>
        <w:rPr>
          <w:spacing w:val="-13"/>
          <w:sz w:val="22"/>
        </w:rPr>
        <w:t> </w:t>
      </w:r>
      <w:r>
        <w:rPr>
          <w:sz w:val="22"/>
        </w:rPr>
        <w:t>expect</w:t>
      </w:r>
      <w:r>
        <w:rPr>
          <w:spacing w:val="-15"/>
          <w:sz w:val="22"/>
        </w:rPr>
        <w:t> </w:t>
      </w:r>
      <w:r>
        <w:rPr>
          <w:sz w:val="22"/>
        </w:rPr>
        <w:t>miscalaneous</w:t>
      </w:r>
      <w:r>
        <w:rPr>
          <w:spacing w:val="-15"/>
          <w:sz w:val="22"/>
        </w:rPr>
        <w:t> </w:t>
      </w:r>
      <w:r>
        <w:rPr>
          <w:sz w:val="22"/>
        </w:rPr>
        <w:t>(sporting)</w:t>
      </w:r>
      <w:r>
        <w:rPr>
          <w:spacing w:val="-16"/>
          <w:sz w:val="22"/>
        </w:rPr>
        <w:t> </w:t>
      </w:r>
      <w:r>
        <w:rPr>
          <w:sz w:val="22"/>
        </w:rPr>
        <w:t>cash</w:t>
      </w:r>
      <w:r>
        <w:rPr>
          <w:spacing w:val="-13"/>
          <w:sz w:val="22"/>
        </w:rPr>
        <w:t> </w:t>
      </w:r>
      <w:r>
        <w:rPr>
          <w:sz w:val="22"/>
        </w:rPr>
        <w:t>flows</w:t>
      </w:r>
      <w:r>
        <w:rPr>
          <w:spacing w:val="-18"/>
          <w:sz w:val="22"/>
        </w:rPr>
        <w:t> </w:t>
      </w:r>
      <w:r>
        <w:rPr>
          <w:sz w:val="22"/>
        </w:rPr>
        <w:t>of</w:t>
      </w:r>
      <w:r>
        <w:rPr>
          <w:spacing w:val="-18"/>
          <w:sz w:val="22"/>
        </w:rPr>
        <w:t> </w:t>
      </w:r>
      <w:r>
        <w:rPr>
          <w:sz w:val="22"/>
        </w:rPr>
        <w:t>£500k/year</w:t>
      </w:r>
      <w:r>
        <w:rPr>
          <w:spacing w:val="-16"/>
          <w:sz w:val="22"/>
        </w:rPr>
        <w:t> </w:t>
      </w:r>
      <w:r>
        <w:rPr>
          <w:sz w:val="22"/>
        </w:rPr>
        <w:t>from</w:t>
      </w:r>
      <w:r>
        <w:rPr>
          <w:spacing w:val="-15"/>
          <w:sz w:val="22"/>
        </w:rPr>
        <w:t> </w:t>
      </w:r>
      <w:r>
        <w:rPr>
          <w:sz w:val="22"/>
        </w:rPr>
        <w:t>Y3</w:t>
      </w:r>
      <w:r>
        <w:rPr>
          <w:spacing w:val="-16"/>
          <w:sz w:val="22"/>
        </w:rPr>
        <w:t> </w:t>
      </w:r>
      <w:r>
        <w:rPr>
          <w:sz w:val="22"/>
        </w:rPr>
        <w:t>–</w:t>
      </w:r>
      <w:r>
        <w:rPr>
          <w:spacing w:val="-13"/>
          <w:sz w:val="22"/>
        </w:rPr>
        <w:t> </w:t>
      </w:r>
      <w:r>
        <w:rPr>
          <w:sz w:val="22"/>
        </w:rPr>
        <w:t>Y10.</w:t>
      </w:r>
      <w:r>
        <w:rPr>
          <w:spacing w:val="-16"/>
          <w:sz w:val="22"/>
        </w:rPr>
        <w:t> </w:t>
      </w:r>
      <w:r>
        <w:rPr>
          <w:sz w:val="22"/>
        </w:rPr>
        <w:t>Management</w:t>
      </w:r>
      <w:r>
        <w:rPr>
          <w:spacing w:val="-15"/>
          <w:sz w:val="22"/>
        </w:rPr>
        <w:t> </w:t>
      </w:r>
      <w:r>
        <w:rPr>
          <w:sz w:val="22"/>
        </w:rPr>
        <w:t>reported</w:t>
      </w:r>
      <w:r>
        <w:rPr>
          <w:spacing w:val="-12"/>
          <w:sz w:val="22"/>
        </w:rPr>
        <w:t> </w:t>
      </w:r>
      <w:r>
        <w:rPr>
          <w:sz w:val="22"/>
        </w:rPr>
        <w:t>that</w:t>
      </w:r>
      <w:r>
        <w:rPr>
          <w:spacing w:val="-16"/>
          <w:sz w:val="22"/>
        </w:rPr>
        <w:t> </w:t>
      </w:r>
      <w:r>
        <w:rPr>
          <w:sz w:val="22"/>
        </w:rPr>
        <w:t>the cumulative</w:t>
      </w:r>
      <w:r>
        <w:rPr>
          <w:spacing w:val="-7"/>
          <w:sz w:val="22"/>
        </w:rPr>
        <w:t> </w:t>
      </w:r>
      <w:r>
        <w:rPr>
          <w:sz w:val="22"/>
        </w:rPr>
        <w:t>cash flows did not</w:t>
      </w:r>
      <w:r>
        <w:rPr>
          <w:spacing w:val="-3"/>
          <w:sz w:val="22"/>
        </w:rPr>
        <w:t> </w:t>
      </w:r>
      <w:r>
        <w:rPr>
          <w:sz w:val="22"/>
        </w:rPr>
        <w:t>reflect this</w:t>
      </w:r>
      <w:r>
        <w:rPr>
          <w:spacing w:val="-3"/>
          <w:sz w:val="22"/>
        </w:rPr>
        <w:t> </w:t>
      </w:r>
      <w:r>
        <w:rPr>
          <w:sz w:val="22"/>
        </w:rPr>
        <w:t>and has been adjusted seperately 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included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net</w:t>
      </w:r>
      <w:r>
        <w:rPr>
          <w:spacing w:val="-3"/>
          <w:sz w:val="22"/>
        </w:rPr>
        <w:t> </w:t>
      </w:r>
      <w:r>
        <w:rPr>
          <w:sz w:val="22"/>
        </w:rPr>
        <w:t>cash flows.</w:t>
      </w:r>
    </w:p>
    <w:p>
      <w:pPr>
        <w:pStyle w:val="ListParagraph"/>
        <w:spacing w:after="0" w:line="247" w:lineRule="auto"/>
        <w:jc w:val="left"/>
        <w:rPr>
          <w:sz w:val="22"/>
        </w:rPr>
        <w:sectPr>
          <w:headerReference w:type="default" r:id="rId19"/>
          <w:footerReference w:type="default" r:id="rId20"/>
          <w:pgSz w:w="15840" w:h="12240" w:orient="landscape"/>
          <w:pgMar w:header="1255" w:footer="1419" w:top="1880" w:bottom="1600" w:left="720" w:right="1080"/>
          <w:pgNumType w:start="1"/>
        </w:sectPr>
      </w:pP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7" w:lineRule="auto" w:before="234" w:after="0"/>
        <w:ind w:left="1022" w:right="206" w:hanging="339"/>
        <w:jc w:val="left"/>
        <w:rPr>
          <w:sz w:val="22"/>
        </w:rPr>
      </w:pPr>
      <w:r>
        <w:rPr>
          <w:sz w:val="22"/>
        </w:rPr>
        <w:t>Coupon</w:t>
      </w:r>
      <w:r>
        <w:rPr>
          <w:spacing w:val="-2"/>
          <w:sz w:val="22"/>
        </w:rPr>
        <w:t> </w:t>
      </w:r>
      <w:r>
        <w:rPr>
          <w:sz w:val="22"/>
        </w:rPr>
        <w:t>payments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investment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gilt</w:t>
      </w:r>
      <w:r>
        <w:rPr>
          <w:spacing w:val="-2"/>
          <w:sz w:val="22"/>
        </w:rPr>
        <w:t> </w:t>
      </w:r>
      <w:r>
        <w:rPr>
          <w:sz w:val="22"/>
        </w:rPr>
        <w:t>has</w:t>
      </w:r>
      <w:r>
        <w:rPr>
          <w:spacing w:val="-2"/>
          <w:sz w:val="22"/>
        </w:rPr>
        <w:t> </w:t>
      </w:r>
      <w:r>
        <w:rPr>
          <w:sz w:val="22"/>
        </w:rPr>
        <w:t>been</w:t>
      </w:r>
      <w:r>
        <w:rPr>
          <w:spacing w:val="-4"/>
          <w:sz w:val="22"/>
        </w:rPr>
        <w:t> </w:t>
      </w:r>
      <w:r>
        <w:rPr>
          <w:sz w:val="22"/>
        </w:rPr>
        <w:t>stripped</w:t>
      </w:r>
      <w:r>
        <w:rPr>
          <w:spacing w:val="-1"/>
          <w:sz w:val="22"/>
        </w:rPr>
        <w:t> </w:t>
      </w:r>
      <w:r>
        <w:rPr>
          <w:sz w:val="22"/>
        </w:rPr>
        <w:t>out of</w:t>
      </w:r>
      <w:r>
        <w:rPr>
          <w:spacing w:val="-4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cash</w:t>
      </w:r>
      <w:r>
        <w:rPr>
          <w:spacing w:val="-4"/>
          <w:sz w:val="22"/>
        </w:rPr>
        <w:t> </w:t>
      </w:r>
      <w:r>
        <w:rPr>
          <w:sz w:val="22"/>
        </w:rPr>
        <w:t>flows</w:t>
      </w:r>
      <w:r>
        <w:rPr>
          <w:spacing w:val="-1"/>
          <w:sz w:val="22"/>
        </w:rPr>
        <w:t> </w:t>
      </w:r>
      <w:r>
        <w:rPr>
          <w:sz w:val="22"/>
        </w:rPr>
        <w:t>provided by</w:t>
      </w:r>
      <w:r>
        <w:rPr>
          <w:spacing w:val="-2"/>
          <w:sz w:val="22"/>
        </w:rPr>
        <w:t> </w:t>
      </w:r>
      <w:r>
        <w:rPr>
          <w:sz w:val="22"/>
        </w:rPr>
        <w:t>Management, given</w:t>
      </w:r>
      <w:r>
        <w:rPr>
          <w:spacing w:val="-18"/>
          <w:sz w:val="22"/>
        </w:rPr>
        <w:t> </w:t>
      </w:r>
      <w:r>
        <w:rPr>
          <w:sz w:val="22"/>
        </w:rPr>
        <w:t>that</w:t>
      </w:r>
      <w:r>
        <w:rPr>
          <w:spacing w:val="-17"/>
          <w:sz w:val="22"/>
        </w:rPr>
        <w:t> </w:t>
      </w:r>
      <w:r>
        <w:rPr>
          <w:sz w:val="22"/>
        </w:rPr>
        <w:t>the</w:t>
      </w:r>
      <w:r>
        <w:rPr>
          <w:spacing w:val="-20"/>
          <w:sz w:val="22"/>
        </w:rPr>
        <w:t> </w:t>
      </w:r>
      <w:r>
        <w:rPr>
          <w:sz w:val="22"/>
        </w:rPr>
        <w:t>different</w:t>
      </w:r>
      <w:r>
        <w:rPr>
          <w:spacing w:val="-16"/>
          <w:sz w:val="22"/>
        </w:rPr>
        <w:t> </w:t>
      </w:r>
      <w:r>
        <w:rPr>
          <w:sz w:val="22"/>
        </w:rPr>
        <w:t>risk</w:t>
      </w:r>
      <w:r>
        <w:rPr>
          <w:spacing w:val="-19"/>
          <w:sz w:val="22"/>
        </w:rPr>
        <w:t> </w:t>
      </w:r>
      <w:r>
        <w:rPr>
          <w:sz w:val="22"/>
        </w:rPr>
        <w:t>profile</w:t>
      </w:r>
      <w:r>
        <w:rPr>
          <w:spacing w:val="-19"/>
          <w:sz w:val="22"/>
        </w:rPr>
        <w:t> </w:t>
      </w:r>
      <w:r>
        <w:rPr>
          <w:sz w:val="22"/>
        </w:rPr>
        <w:t>and</w:t>
      </w:r>
      <w:r>
        <w:rPr>
          <w:spacing w:val="-18"/>
          <w:sz w:val="22"/>
        </w:rPr>
        <w:t> </w:t>
      </w:r>
      <w:r>
        <w:rPr>
          <w:sz w:val="22"/>
        </w:rPr>
        <w:t>the</w:t>
      </w:r>
      <w:r>
        <w:rPr>
          <w:spacing w:val="-17"/>
          <w:sz w:val="22"/>
        </w:rPr>
        <w:t> </w:t>
      </w:r>
      <w:r>
        <w:rPr>
          <w:sz w:val="22"/>
        </w:rPr>
        <w:t>value</w:t>
      </w:r>
      <w:r>
        <w:rPr>
          <w:spacing w:val="-14"/>
          <w:sz w:val="22"/>
        </w:rPr>
        <w:t> </w:t>
      </w:r>
      <w:r>
        <w:rPr>
          <w:sz w:val="22"/>
        </w:rPr>
        <w:t>for</w:t>
      </w:r>
      <w:r>
        <w:rPr>
          <w:spacing w:val="-20"/>
          <w:sz w:val="22"/>
        </w:rPr>
        <w:t> </w:t>
      </w:r>
      <w:r>
        <w:rPr>
          <w:sz w:val="22"/>
        </w:rPr>
        <w:t>gilts</w:t>
      </w:r>
      <w:r>
        <w:rPr>
          <w:spacing w:val="-16"/>
          <w:sz w:val="22"/>
        </w:rPr>
        <w:t> </w:t>
      </w:r>
      <w:r>
        <w:rPr>
          <w:sz w:val="22"/>
        </w:rPr>
        <w:t>has</w:t>
      </w:r>
      <w:r>
        <w:rPr>
          <w:spacing w:val="-16"/>
          <w:sz w:val="22"/>
        </w:rPr>
        <w:t> </w:t>
      </w:r>
      <w:r>
        <w:rPr>
          <w:sz w:val="22"/>
        </w:rPr>
        <w:t>been</w:t>
      </w:r>
      <w:r>
        <w:rPr>
          <w:spacing w:val="-15"/>
          <w:sz w:val="22"/>
        </w:rPr>
        <w:t> </w:t>
      </w:r>
      <w:r>
        <w:rPr>
          <w:sz w:val="22"/>
        </w:rPr>
        <w:t>calculated</w:t>
      </w:r>
      <w:r>
        <w:rPr>
          <w:spacing w:val="-18"/>
          <w:sz w:val="22"/>
        </w:rPr>
        <w:t> </w:t>
      </w:r>
      <w:r>
        <w:rPr>
          <w:sz w:val="22"/>
        </w:rPr>
        <w:t>seperately.</w:t>
      </w:r>
      <w:r>
        <w:rPr>
          <w:spacing w:val="-14"/>
          <w:sz w:val="22"/>
        </w:rPr>
        <w:t> </w:t>
      </w:r>
      <w:r>
        <w:rPr>
          <w:sz w:val="22"/>
        </w:rPr>
        <w:t>The</w:t>
      </w:r>
      <w:r>
        <w:rPr>
          <w:spacing w:val="-17"/>
          <w:sz w:val="22"/>
        </w:rPr>
        <w:t> </w:t>
      </w:r>
      <w:r>
        <w:rPr>
          <w:sz w:val="22"/>
        </w:rPr>
        <w:t>investment</w:t>
      </w:r>
      <w:r>
        <w:rPr>
          <w:spacing w:val="-16"/>
          <w:sz w:val="22"/>
        </w:rPr>
        <w:t> </w:t>
      </w:r>
      <w:r>
        <w:rPr>
          <w:sz w:val="22"/>
        </w:rPr>
        <w:t>in</w:t>
      </w:r>
      <w:r>
        <w:rPr>
          <w:spacing w:val="-17"/>
          <w:sz w:val="22"/>
        </w:rPr>
        <w:t> </w:t>
      </w:r>
      <w:r>
        <w:rPr>
          <w:sz w:val="22"/>
        </w:rPr>
        <w:t>gilts</w:t>
      </w:r>
      <w:r>
        <w:rPr>
          <w:spacing w:val="-16"/>
          <w:sz w:val="22"/>
        </w:rPr>
        <w:t> </w:t>
      </w:r>
      <w:r>
        <w:rPr>
          <w:sz w:val="22"/>
        </w:rPr>
        <w:t>is expected in Y2. Management reported that timbered 620Ha of the land will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5"/>
          <w:sz w:val="22"/>
        </w:rPr>
        <w:t> </w:t>
      </w:r>
      <w:r>
        <w:rPr>
          <w:sz w:val="22"/>
        </w:rPr>
        <w:t>sold in</w:t>
      </w:r>
      <w:r>
        <w:rPr>
          <w:spacing w:val="-1"/>
          <w:sz w:val="22"/>
        </w:rPr>
        <w:t> </w:t>
      </w:r>
      <w:r>
        <w:rPr>
          <w:sz w:val="22"/>
        </w:rPr>
        <w:t>Y2 which is expected to generate</w:t>
      </w:r>
      <w:r>
        <w:rPr>
          <w:spacing w:val="-20"/>
          <w:sz w:val="22"/>
        </w:rPr>
        <w:t> </w:t>
      </w:r>
      <w:r>
        <w:rPr>
          <w:sz w:val="22"/>
        </w:rPr>
        <w:t>£9.3m</w:t>
      </w:r>
      <w:r>
        <w:rPr>
          <w:spacing w:val="-17"/>
          <w:sz w:val="22"/>
        </w:rPr>
        <w:t> </w:t>
      </w:r>
      <w:r>
        <w:rPr>
          <w:sz w:val="22"/>
        </w:rPr>
        <w:t>that</w:t>
      </w:r>
      <w:r>
        <w:rPr>
          <w:spacing w:val="-20"/>
          <w:sz w:val="22"/>
        </w:rPr>
        <w:t> </w:t>
      </w:r>
      <w:r>
        <w:rPr>
          <w:sz w:val="22"/>
        </w:rPr>
        <w:t>will</w:t>
      </w:r>
      <w:r>
        <w:rPr>
          <w:spacing w:val="-18"/>
          <w:sz w:val="22"/>
        </w:rPr>
        <w:t> </w:t>
      </w:r>
      <w:r>
        <w:rPr>
          <w:sz w:val="22"/>
        </w:rPr>
        <w:t>be</w:t>
      </w:r>
      <w:r>
        <w:rPr>
          <w:spacing w:val="-20"/>
          <w:sz w:val="22"/>
        </w:rPr>
        <w:t> </w:t>
      </w:r>
      <w:r>
        <w:rPr>
          <w:sz w:val="22"/>
        </w:rPr>
        <w:t>used</w:t>
      </w:r>
      <w:r>
        <w:rPr>
          <w:spacing w:val="-19"/>
          <w:sz w:val="22"/>
        </w:rPr>
        <w:t> </w:t>
      </w:r>
      <w:r>
        <w:rPr>
          <w:sz w:val="22"/>
        </w:rPr>
        <w:t>to</w:t>
      </w:r>
      <w:r>
        <w:rPr>
          <w:spacing w:val="-17"/>
          <w:sz w:val="22"/>
        </w:rPr>
        <w:t> </w:t>
      </w:r>
      <w:r>
        <w:rPr>
          <w:sz w:val="22"/>
        </w:rPr>
        <w:t>purchase</w:t>
      </w:r>
      <w:r>
        <w:rPr>
          <w:spacing w:val="-18"/>
          <w:sz w:val="22"/>
        </w:rPr>
        <w:t> </w:t>
      </w:r>
      <w:r>
        <w:rPr>
          <w:sz w:val="22"/>
        </w:rPr>
        <w:t>the</w:t>
      </w:r>
      <w:r>
        <w:rPr>
          <w:spacing w:val="-18"/>
          <w:sz w:val="22"/>
        </w:rPr>
        <w:t> </w:t>
      </w:r>
      <w:r>
        <w:rPr>
          <w:sz w:val="22"/>
        </w:rPr>
        <w:t>gilts</w:t>
      </w:r>
      <w:r>
        <w:rPr>
          <w:spacing w:val="-18"/>
          <w:sz w:val="22"/>
        </w:rPr>
        <w:t> </w:t>
      </w:r>
      <w:r>
        <w:rPr>
          <w:sz w:val="22"/>
        </w:rPr>
        <w:t>for</w:t>
      </w:r>
      <w:r>
        <w:rPr>
          <w:spacing w:val="-20"/>
          <w:sz w:val="22"/>
        </w:rPr>
        <w:t> </w:t>
      </w:r>
      <w:r>
        <w:rPr>
          <w:sz w:val="22"/>
        </w:rPr>
        <w:t>£9m.</w:t>
      </w:r>
      <w:r>
        <w:rPr>
          <w:spacing w:val="-19"/>
          <w:sz w:val="22"/>
        </w:rPr>
        <w:t> </w:t>
      </w:r>
      <w:r>
        <w:rPr>
          <w:sz w:val="22"/>
        </w:rPr>
        <w:t>The</w:t>
      </w:r>
      <w:r>
        <w:rPr>
          <w:spacing w:val="-15"/>
          <w:sz w:val="22"/>
        </w:rPr>
        <w:t> </w:t>
      </w:r>
      <w:r>
        <w:rPr>
          <w:sz w:val="22"/>
        </w:rPr>
        <w:t>forecasts</w:t>
      </w:r>
      <w:r>
        <w:rPr>
          <w:spacing w:val="-18"/>
          <w:sz w:val="22"/>
        </w:rPr>
        <w:t> </w:t>
      </w:r>
      <w:r>
        <w:rPr>
          <w:sz w:val="22"/>
        </w:rPr>
        <w:t>prepared</w:t>
      </w:r>
      <w:r>
        <w:rPr>
          <w:spacing w:val="-19"/>
          <w:sz w:val="22"/>
        </w:rPr>
        <w:t> </w:t>
      </w:r>
      <w:r>
        <w:rPr>
          <w:sz w:val="22"/>
        </w:rPr>
        <w:t>by</w:t>
      </w:r>
      <w:r>
        <w:rPr>
          <w:spacing w:val="-18"/>
          <w:sz w:val="22"/>
        </w:rPr>
        <w:t> </w:t>
      </w:r>
      <w:r>
        <w:rPr>
          <w:sz w:val="22"/>
        </w:rPr>
        <w:t>Managment</w:t>
      </w:r>
      <w:r>
        <w:rPr>
          <w:spacing w:val="-18"/>
          <w:sz w:val="22"/>
        </w:rPr>
        <w:t> </w:t>
      </w:r>
      <w:r>
        <w:rPr>
          <w:sz w:val="22"/>
        </w:rPr>
        <w:t>for</w:t>
      </w:r>
      <w:r>
        <w:rPr>
          <w:spacing w:val="-18"/>
          <w:sz w:val="22"/>
        </w:rPr>
        <w:t> </w:t>
      </w:r>
      <w:r>
        <w:rPr>
          <w:sz w:val="22"/>
        </w:rPr>
        <w:t>Y2</w:t>
      </w:r>
      <w:r>
        <w:rPr>
          <w:spacing w:val="-20"/>
          <w:sz w:val="22"/>
        </w:rPr>
        <w:t> </w:t>
      </w:r>
      <w:r>
        <w:rPr>
          <w:sz w:val="22"/>
        </w:rPr>
        <w:t>includes the</w:t>
      </w:r>
      <w:r>
        <w:rPr>
          <w:spacing w:val="-6"/>
          <w:sz w:val="22"/>
        </w:rPr>
        <w:t> </w:t>
      </w:r>
      <w:r>
        <w:rPr>
          <w:sz w:val="22"/>
        </w:rPr>
        <w:t>£300k cash.</w:t>
      </w:r>
      <w:r>
        <w:rPr>
          <w:spacing w:val="-6"/>
          <w:sz w:val="22"/>
        </w:rPr>
        <w:t> </w:t>
      </w:r>
      <w:r>
        <w:rPr>
          <w:sz w:val="22"/>
        </w:rPr>
        <w:t>We</w:t>
      </w:r>
      <w:r>
        <w:rPr>
          <w:spacing w:val="-1"/>
          <w:sz w:val="22"/>
        </w:rPr>
        <w:t> </w:t>
      </w:r>
      <w:r>
        <w:rPr>
          <w:sz w:val="22"/>
        </w:rPr>
        <w:t>note that</w:t>
      </w:r>
      <w:r>
        <w:rPr>
          <w:spacing w:val="-6"/>
          <w:sz w:val="22"/>
        </w:rPr>
        <w:t> </w:t>
      </w:r>
      <w:r>
        <w:rPr>
          <w:sz w:val="22"/>
        </w:rPr>
        <w:t>Management</w:t>
      </w:r>
      <w:r>
        <w:rPr>
          <w:spacing w:val="-4"/>
          <w:sz w:val="22"/>
        </w:rPr>
        <w:t> </w:t>
      </w:r>
      <w:r>
        <w:rPr>
          <w:sz w:val="22"/>
        </w:rPr>
        <w:t>reported</w:t>
      </w:r>
      <w:r>
        <w:rPr>
          <w:spacing w:val="-6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initial</w:t>
      </w:r>
      <w:r>
        <w:rPr>
          <w:spacing w:val="-4"/>
          <w:sz w:val="22"/>
        </w:rPr>
        <w:t> </w:t>
      </w:r>
      <w:r>
        <w:rPr>
          <w:sz w:val="22"/>
        </w:rPr>
        <w:t>purchase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land</w:t>
      </w:r>
      <w:r>
        <w:rPr>
          <w:spacing w:val="-5"/>
          <w:sz w:val="22"/>
        </w:rPr>
        <w:t> </w:t>
      </w:r>
      <w:r>
        <w:rPr>
          <w:sz w:val="22"/>
        </w:rPr>
        <w:t>will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at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discount</w:t>
      </w:r>
      <w:r>
        <w:rPr>
          <w:spacing w:val="-4"/>
          <w:sz w:val="22"/>
        </w:rPr>
        <w:t> </w:t>
      </w:r>
      <w:r>
        <w:rPr>
          <w:sz w:val="22"/>
        </w:rPr>
        <w:t>in Y1.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  <w:tab w:pos="1022" w:val="left" w:leader="none"/>
        </w:tabs>
        <w:spacing w:line="247" w:lineRule="auto" w:before="8" w:after="0"/>
        <w:ind w:left="1022" w:right="1076" w:hanging="339"/>
        <w:jc w:val="left"/>
        <w:rPr>
          <w:sz w:val="22"/>
        </w:rPr>
      </w:pPr>
      <w:r>
        <w:rPr>
          <w:sz w:val="22"/>
        </w:rPr>
        <w:t>Management</w:t>
      </w:r>
      <w:r>
        <w:rPr>
          <w:spacing w:val="-14"/>
          <w:sz w:val="22"/>
        </w:rPr>
        <w:t> </w:t>
      </w:r>
      <w:r>
        <w:rPr>
          <w:sz w:val="22"/>
        </w:rPr>
        <w:t>included</w:t>
      </w:r>
      <w:r>
        <w:rPr>
          <w:spacing w:val="-15"/>
          <w:sz w:val="22"/>
        </w:rPr>
        <w:t> </w:t>
      </w:r>
      <w:r>
        <w:rPr>
          <w:sz w:val="22"/>
        </w:rPr>
        <w:t>a</w:t>
      </w:r>
      <w:r>
        <w:rPr>
          <w:spacing w:val="-16"/>
          <w:sz w:val="22"/>
        </w:rPr>
        <w:t> </w:t>
      </w:r>
      <w:r>
        <w:rPr>
          <w:sz w:val="22"/>
        </w:rPr>
        <w:t>sale</w:t>
      </w:r>
      <w:r>
        <w:rPr>
          <w:spacing w:val="-18"/>
          <w:sz w:val="22"/>
        </w:rPr>
        <w:t> </w:t>
      </w:r>
      <w:r>
        <w:rPr>
          <w:sz w:val="22"/>
        </w:rPr>
        <w:t>of</w:t>
      </w:r>
      <w:r>
        <w:rPr>
          <w:spacing w:val="-16"/>
          <w:sz w:val="22"/>
        </w:rPr>
        <w:t> </w:t>
      </w:r>
      <w:r>
        <w:rPr>
          <w:sz w:val="22"/>
        </w:rPr>
        <w:t>replanted</w:t>
      </w:r>
      <w:r>
        <w:rPr>
          <w:spacing w:val="-17"/>
          <w:sz w:val="22"/>
        </w:rPr>
        <w:t> </w:t>
      </w:r>
      <w:r>
        <w:rPr>
          <w:sz w:val="22"/>
        </w:rPr>
        <w:t>land</w:t>
      </w:r>
      <w:r>
        <w:rPr>
          <w:spacing w:val="-17"/>
          <w:sz w:val="22"/>
        </w:rPr>
        <w:t> </w:t>
      </w:r>
      <w:r>
        <w:rPr>
          <w:sz w:val="22"/>
        </w:rPr>
        <w:t>for</w:t>
      </w:r>
      <w:r>
        <w:rPr>
          <w:spacing w:val="-20"/>
          <w:sz w:val="22"/>
        </w:rPr>
        <w:t> </w:t>
      </w:r>
      <w:r>
        <w:rPr>
          <w:sz w:val="22"/>
        </w:rPr>
        <w:t>£1.5m</w:t>
      </w:r>
      <w:r>
        <w:rPr>
          <w:spacing w:val="-17"/>
          <w:sz w:val="22"/>
        </w:rPr>
        <w:t> </w:t>
      </w:r>
      <w:r>
        <w:rPr>
          <w:sz w:val="22"/>
        </w:rPr>
        <w:t>in</w:t>
      </w:r>
      <w:r>
        <w:rPr>
          <w:spacing w:val="-16"/>
          <w:sz w:val="22"/>
        </w:rPr>
        <w:t> </w:t>
      </w:r>
      <w:r>
        <w:rPr>
          <w:sz w:val="22"/>
        </w:rPr>
        <w:t>Y6</w:t>
      </w:r>
      <w:r>
        <w:rPr>
          <w:spacing w:val="-16"/>
          <w:sz w:val="22"/>
        </w:rPr>
        <w:t> </w:t>
      </w:r>
      <w:r>
        <w:rPr>
          <w:sz w:val="22"/>
        </w:rPr>
        <w:t>in</w:t>
      </w:r>
      <w:r>
        <w:rPr>
          <w:spacing w:val="-13"/>
          <w:sz w:val="22"/>
        </w:rPr>
        <w:t> </w:t>
      </w:r>
      <w:r>
        <w:rPr>
          <w:sz w:val="22"/>
        </w:rPr>
        <w:t>its</w:t>
      </w:r>
      <w:r>
        <w:rPr>
          <w:spacing w:val="-18"/>
          <w:sz w:val="22"/>
        </w:rPr>
        <w:t> </w:t>
      </w:r>
      <w:r>
        <w:rPr>
          <w:sz w:val="22"/>
        </w:rPr>
        <w:t>cash</w:t>
      </w:r>
      <w:r>
        <w:rPr>
          <w:spacing w:val="-16"/>
          <w:sz w:val="22"/>
        </w:rPr>
        <w:t> </w:t>
      </w:r>
      <w:r>
        <w:rPr>
          <w:sz w:val="22"/>
        </w:rPr>
        <w:t>flow</w:t>
      </w:r>
      <w:r>
        <w:rPr>
          <w:spacing w:val="-20"/>
          <w:sz w:val="22"/>
        </w:rPr>
        <w:t> </w:t>
      </w:r>
      <w:r>
        <w:rPr>
          <w:sz w:val="22"/>
        </w:rPr>
        <w:t>forecasts.</w:t>
      </w:r>
      <w:r>
        <w:rPr>
          <w:spacing w:val="-15"/>
          <w:sz w:val="22"/>
        </w:rPr>
        <w:t> </w:t>
      </w:r>
      <w:r>
        <w:rPr>
          <w:sz w:val="22"/>
        </w:rPr>
        <w:t>The</w:t>
      </w:r>
      <w:r>
        <w:rPr>
          <w:spacing w:val="-14"/>
          <w:sz w:val="22"/>
        </w:rPr>
        <w:t> </w:t>
      </w:r>
      <w:r>
        <w:rPr>
          <w:sz w:val="22"/>
        </w:rPr>
        <w:t>replant</w:t>
      </w:r>
      <w:r>
        <w:rPr>
          <w:spacing w:val="-16"/>
          <w:sz w:val="22"/>
        </w:rPr>
        <w:t> </w:t>
      </w:r>
      <w:r>
        <w:rPr>
          <w:sz w:val="22"/>
        </w:rPr>
        <w:t>costs</w:t>
      </w:r>
      <w:r>
        <w:rPr>
          <w:spacing w:val="-16"/>
          <w:sz w:val="22"/>
        </w:rPr>
        <w:t> </w:t>
      </w:r>
      <w:r>
        <w:rPr>
          <w:sz w:val="22"/>
        </w:rPr>
        <w:t>are expected to be met from existing cash flows and not grants.</w:t>
      </w:r>
    </w:p>
    <w:p>
      <w:pPr>
        <w:pStyle w:val="ListParagraph"/>
        <w:numPr>
          <w:ilvl w:val="0"/>
          <w:numId w:val="3"/>
        </w:numPr>
        <w:tabs>
          <w:tab w:pos="1020" w:val="left" w:leader="none"/>
        </w:tabs>
        <w:spacing w:line="240" w:lineRule="auto" w:before="1" w:after="0"/>
        <w:ind w:left="1020" w:right="0" w:hanging="337"/>
        <w:jc w:val="left"/>
        <w:rPr>
          <w:sz w:val="22"/>
        </w:rPr>
      </w:pPr>
      <w:r>
        <w:rPr>
          <w:spacing w:val="-2"/>
          <w:sz w:val="22"/>
        </w:rPr>
        <w:t>Management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also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reported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that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the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RPS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is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valid</w:t>
      </w:r>
      <w:r>
        <w:rPr>
          <w:spacing w:val="-16"/>
          <w:sz w:val="22"/>
        </w:rPr>
        <w:t> </w:t>
      </w:r>
      <w:r>
        <w:rPr>
          <w:spacing w:val="-2"/>
          <w:sz w:val="22"/>
        </w:rPr>
        <w:t>until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April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30</w:t>
      </w:r>
      <w:r>
        <w:rPr>
          <w:spacing w:val="-2"/>
          <w:position w:val="6"/>
          <w:sz w:val="15"/>
        </w:rPr>
        <w:t>th</w:t>
      </w:r>
      <w:r>
        <w:rPr>
          <w:spacing w:val="6"/>
          <w:position w:val="6"/>
          <w:sz w:val="15"/>
        </w:rPr>
        <w:t> </w:t>
      </w:r>
      <w:r>
        <w:rPr>
          <w:spacing w:val="-2"/>
          <w:sz w:val="22"/>
        </w:rPr>
        <w:t>2036.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4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w w:val="90"/>
        </w:rPr>
        <w:t>FINANCIAL</w:t>
      </w:r>
      <w:r>
        <w:rPr>
          <w:spacing w:val="7"/>
        </w:rPr>
        <w:t> </w:t>
      </w:r>
      <w:r>
        <w:rPr>
          <w:w w:val="90"/>
        </w:rPr>
        <w:t>INFORMATION</w:t>
      </w:r>
      <w:r>
        <w:rPr>
          <w:spacing w:val="8"/>
        </w:rPr>
        <w:t> </w:t>
      </w:r>
      <w:r>
        <w:rPr>
          <w:w w:val="90"/>
        </w:rPr>
        <w:t>–</w:t>
      </w:r>
      <w:r>
        <w:rPr>
          <w:spacing w:val="11"/>
        </w:rPr>
        <w:t> </w:t>
      </w:r>
      <w:r>
        <w:rPr>
          <w:w w:val="90"/>
        </w:rPr>
        <w:t>GILT</w:t>
      </w:r>
      <w:r>
        <w:rPr>
          <w:spacing w:val="8"/>
        </w:rPr>
        <w:t> </w:t>
      </w:r>
      <w:r>
        <w:rPr>
          <w:spacing w:val="-2"/>
          <w:w w:val="90"/>
        </w:rPr>
        <w:t>FORECASTS</w:t>
      </w:r>
    </w:p>
    <w:p>
      <w:pPr>
        <w:pStyle w:val="BodyText"/>
        <w:spacing w:before="190"/>
        <w:rPr>
          <w:rFonts w:ascii="Tahoma"/>
          <w:b/>
        </w:rPr>
      </w:pPr>
    </w:p>
    <w:p>
      <w:pPr>
        <w:pStyle w:val="BodyText"/>
        <w:spacing w:line="249" w:lineRule="auto"/>
        <w:ind w:left="345"/>
      </w:pPr>
      <w:r>
        <w:rPr/>
        <w:t>Management</w:t>
      </w:r>
      <w:r>
        <w:rPr>
          <w:spacing w:val="-4"/>
        </w:rPr>
        <w:t> </w:t>
      </w:r>
      <w:r>
        <w:rPr/>
        <w:t>reported</w:t>
      </w:r>
      <w:r>
        <w:rPr>
          <w:spacing w:val="-9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10"/>
        </w:rPr>
        <w:t> </w:t>
      </w:r>
      <w:r>
        <w:rPr/>
        <w:t>initial</w:t>
      </w:r>
      <w:r>
        <w:rPr>
          <w:spacing w:val="-10"/>
        </w:rPr>
        <w:t> </w:t>
      </w:r>
      <w:r>
        <w:rPr/>
        <w:t>purchase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land</w:t>
      </w:r>
      <w:r>
        <w:rPr>
          <w:spacing w:val="-6"/>
        </w:rPr>
        <w:t> </w:t>
      </w:r>
      <w:r>
        <w:rPr/>
        <w:t>is</w:t>
      </w:r>
      <w:r>
        <w:rPr>
          <w:spacing w:val="-7"/>
        </w:rPr>
        <w:t> </w:t>
      </w:r>
      <w:r>
        <w:rPr/>
        <w:t>expected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/>
        <w:t>at</w:t>
      </w:r>
      <w:r>
        <w:rPr>
          <w:spacing w:val="-7"/>
        </w:rPr>
        <w:t> </w:t>
      </w:r>
      <w:r>
        <w:rPr/>
        <w:t>a</w:t>
      </w:r>
      <w:r>
        <w:rPr>
          <w:spacing w:val="-12"/>
        </w:rPr>
        <w:t> </w:t>
      </w:r>
      <w:r>
        <w:rPr/>
        <w:t>discount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£7m</w:t>
      </w:r>
      <w:r>
        <w:rPr>
          <w:spacing w:val="-12"/>
        </w:rPr>
        <w:t> </w:t>
      </w:r>
      <w:r>
        <w:rPr/>
        <w:t>in</w:t>
      </w:r>
      <w:r>
        <w:rPr>
          <w:spacing w:val="-7"/>
        </w:rPr>
        <w:t> </w:t>
      </w:r>
      <w:r>
        <w:rPr/>
        <w:t>Y1.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Y2,</w:t>
      </w:r>
      <w:r>
        <w:rPr>
          <w:spacing w:val="-6"/>
        </w:rPr>
        <w:t> </w:t>
      </w:r>
      <w:r>
        <w:rPr/>
        <w:t>Management reported</w:t>
      </w:r>
      <w:r>
        <w:rPr>
          <w:spacing w:val="-10"/>
        </w:rPr>
        <w:t> </w:t>
      </w:r>
      <w:r>
        <w:rPr/>
        <w:t>that</w:t>
      </w:r>
      <w:r>
        <w:rPr>
          <w:spacing w:val="-13"/>
        </w:rPr>
        <w:t> </w:t>
      </w:r>
      <w:r>
        <w:rPr/>
        <w:t>2/3</w:t>
      </w:r>
      <w:r>
        <w:rPr>
          <w:spacing w:val="-13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land</w:t>
      </w:r>
      <w:r>
        <w:rPr>
          <w:spacing w:val="-10"/>
        </w:rPr>
        <w:t> </w:t>
      </w:r>
      <w:r>
        <w:rPr/>
        <w:t>or</w:t>
      </w:r>
      <w:r>
        <w:rPr>
          <w:spacing w:val="-16"/>
        </w:rPr>
        <w:t> </w:t>
      </w:r>
      <w:r>
        <w:rPr/>
        <w:t>620Ha</w:t>
      </w:r>
      <w:r>
        <w:rPr>
          <w:spacing w:val="-13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11"/>
        </w:rPr>
        <w:t> </w:t>
      </w:r>
      <w:r>
        <w:rPr/>
        <w:t>land</w:t>
      </w:r>
      <w:r>
        <w:rPr>
          <w:spacing w:val="-12"/>
        </w:rPr>
        <w:t> </w:t>
      </w:r>
      <w:r>
        <w:rPr/>
        <w:t>is</w:t>
      </w:r>
      <w:r>
        <w:rPr>
          <w:spacing w:val="-7"/>
        </w:rPr>
        <w:t> </w:t>
      </w:r>
      <w:r>
        <w:rPr/>
        <w:t>expected</w:t>
      </w:r>
      <w:r>
        <w:rPr>
          <w:spacing w:val="-12"/>
        </w:rPr>
        <w:t> </w:t>
      </w:r>
      <w:r>
        <w:rPr/>
        <w:t>to</w:t>
      </w:r>
      <w:r>
        <w:rPr>
          <w:spacing w:val="-10"/>
        </w:rPr>
        <w:t> </w:t>
      </w:r>
      <w:r>
        <w:rPr/>
        <w:t>be</w:t>
      </w:r>
      <w:r>
        <w:rPr>
          <w:spacing w:val="-13"/>
        </w:rPr>
        <w:t> </w:t>
      </w:r>
      <w:r>
        <w:rPr/>
        <w:t>sold</w:t>
      </w:r>
      <w:r>
        <w:rPr>
          <w:spacing w:val="-15"/>
        </w:rPr>
        <w:t> </w:t>
      </w:r>
      <w:r>
        <w:rPr/>
        <w:t>for</w:t>
      </w:r>
      <w:r>
        <w:rPr>
          <w:spacing w:val="-13"/>
        </w:rPr>
        <w:t> </w:t>
      </w:r>
      <w:r>
        <w:rPr/>
        <w:t>£9.3m.</w:t>
      </w:r>
      <w:r>
        <w:rPr>
          <w:spacing w:val="-10"/>
        </w:rPr>
        <w:t> </w:t>
      </w:r>
      <w:r>
        <w:rPr/>
        <w:t>Of</w:t>
      </w:r>
      <w:r>
        <w:rPr>
          <w:spacing w:val="-13"/>
        </w:rPr>
        <w:t> </w:t>
      </w:r>
      <w:r>
        <w:rPr/>
        <w:t>the</w:t>
      </w:r>
      <w:r>
        <w:rPr>
          <w:spacing w:val="-13"/>
        </w:rPr>
        <w:t> </w:t>
      </w:r>
      <w:r>
        <w:rPr/>
        <w:t>£9.3m,</w:t>
      </w:r>
      <w:r>
        <w:rPr>
          <w:spacing w:val="-11"/>
        </w:rPr>
        <w:t> </w:t>
      </w:r>
      <w:r>
        <w:rPr/>
        <w:t>£9m</w:t>
      </w:r>
      <w:r>
        <w:rPr>
          <w:spacing w:val="-13"/>
        </w:rPr>
        <w:t> </w:t>
      </w:r>
      <w:r>
        <w:rPr/>
        <w:t>would</w:t>
      </w:r>
      <w:r>
        <w:rPr>
          <w:spacing w:val="-13"/>
        </w:rPr>
        <w:t> </w:t>
      </w:r>
      <w:r>
        <w:rPr/>
        <w:t>be</w:t>
      </w:r>
      <w:r>
        <w:rPr>
          <w:spacing w:val="-13"/>
        </w:rPr>
        <w:t> </w:t>
      </w:r>
      <w:r>
        <w:rPr/>
        <w:t>used</w:t>
      </w:r>
      <w:r>
        <w:rPr>
          <w:spacing w:val="-11"/>
        </w:rPr>
        <w:t> </w:t>
      </w:r>
      <w:r>
        <w:rPr/>
        <w:t>to purchase gilts. We have therefore also included a separate valuation of the gilt below based on the forecasts provided by </w:t>
      </w:r>
      <w:r>
        <w:rPr>
          <w:spacing w:val="-2"/>
        </w:rPr>
        <w:t>Management.</w:t>
      </w:r>
    </w:p>
    <w:p>
      <w:pPr>
        <w:pStyle w:val="BodyText"/>
        <w:rPr>
          <w:sz w:val="18"/>
        </w:rPr>
      </w:pPr>
    </w:p>
    <w:tbl>
      <w:tblPr>
        <w:tblW w:w="0" w:type="auto"/>
        <w:jc w:val="left"/>
        <w:tblInd w:w="3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2"/>
        <w:gridCol w:w="1679"/>
        <w:gridCol w:w="1136"/>
        <w:gridCol w:w="1095"/>
        <w:gridCol w:w="1095"/>
        <w:gridCol w:w="1064"/>
        <w:gridCol w:w="993"/>
        <w:gridCol w:w="990"/>
        <w:gridCol w:w="994"/>
        <w:gridCol w:w="926"/>
        <w:gridCol w:w="949"/>
      </w:tblGrid>
      <w:tr>
        <w:trPr>
          <w:trHeight w:val="208" w:hRule="atLeast"/>
        </w:trPr>
        <w:tc>
          <w:tcPr>
            <w:tcW w:w="13583" w:type="dxa"/>
            <w:gridSpan w:val="11"/>
            <w:tcBorders>
              <w:top w:val="nil"/>
            </w:tcBorders>
            <w:shd w:val="clear" w:color="auto" w:fill="0F059E"/>
          </w:tcPr>
          <w:p>
            <w:pPr>
              <w:pStyle w:val="TableParagraph"/>
              <w:spacing w:line="189" w:lineRule="exact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spacing w:val="-2"/>
                <w:sz w:val="18"/>
              </w:rPr>
              <w:t>Bond</w:t>
            </w:r>
            <w:r>
              <w:rPr>
                <w:rFonts w:ascii="Tahoma"/>
                <w:b/>
                <w:color w:val="FFFFFF"/>
                <w:spacing w:val="-10"/>
                <w:sz w:val="18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18"/>
              </w:rPr>
              <w:t>forecasts</w:t>
            </w:r>
          </w:p>
        </w:tc>
      </w:tr>
      <w:tr>
        <w:trPr>
          <w:trHeight w:val="206" w:hRule="atLeast"/>
        </w:trPr>
        <w:tc>
          <w:tcPr>
            <w:tcW w:w="2662" w:type="dxa"/>
            <w:tcBorders>
              <w:right w:val="nil"/>
            </w:tcBorders>
          </w:tcPr>
          <w:p>
            <w:pPr>
              <w:pStyle w:val="TableParagraph"/>
              <w:spacing w:line="187" w:lineRule="exact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4"/>
                <w:sz w:val="18"/>
              </w:rPr>
              <w:t>YEAR</w:t>
            </w:r>
          </w:p>
        </w:tc>
        <w:tc>
          <w:tcPr>
            <w:tcW w:w="1679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209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1</w:t>
            </w:r>
          </w:p>
        </w:tc>
        <w:tc>
          <w:tcPr>
            <w:tcW w:w="113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20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2</w:t>
            </w:r>
          </w:p>
        </w:tc>
        <w:tc>
          <w:tcPr>
            <w:tcW w:w="10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168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3</w:t>
            </w:r>
          </w:p>
        </w:tc>
        <w:tc>
          <w:tcPr>
            <w:tcW w:w="10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208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4</w:t>
            </w:r>
          </w:p>
        </w:tc>
        <w:tc>
          <w:tcPr>
            <w:tcW w:w="106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13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5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13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6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135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7</w:t>
            </w:r>
          </w:p>
        </w:tc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134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8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87" w:lineRule="exact"/>
              <w:ind w:right="6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10"/>
                <w:w w:val="95"/>
                <w:sz w:val="18"/>
              </w:rPr>
              <w:t>9</w:t>
            </w:r>
          </w:p>
        </w:tc>
        <w:tc>
          <w:tcPr>
            <w:tcW w:w="949" w:type="dxa"/>
            <w:tcBorders>
              <w:left w:val="nil"/>
            </w:tcBorders>
          </w:tcPr>
          <w:p>
            <w:pPr>
              <w:pStyle w:val="TableParagraph"/>
              <w:spacing w:line="187" w:lineRule="exact"/>
              <w:ind w:right="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5"/>
                <w:w w:val="95"/>
                <w:sz w:val="18"/>
              </w:rPr>
              <w:t>10</w:t>
            </w:r>
          </w:p>
        </w:tc>
      </w:tr>
      <w:tr>
        <w:trPr>
          <w:trHeight w:val="431" w:hRule="atLeast"/>
        </w:trPr>
        <w:tc>
          <w:tcPr>
            <w:tcW w:w="2662" w:type="dxa"/>
            <w:tcBorders>
              <w:right w:val="nil"/>
            </w:tcBorders>
          </w:tcPr>
          <w:p>
            <w:pPr>
              <w:pStyle w:val="TableParagraph"/>
              <w:spacing w:line="224" w:lineRule="exact"/>
              <w:ind w:left="32" w:right="1262"/>
              <w:rPr>
                <w:sz w:val="18"/>
              </w:rPr>
            </w:pPr>
            <w:r>
              <w:rPr>
                <w:spacing w:val="-2"/>
                <w:sz w:val="18"/>
              </w:rPr>
              <w:t>Coupon </w:t>
            </w:r>
            <w:r>
              <w:rPr>
                <w:spacing w:val="-6"/>
                <w:sz w:val="18"/>
              </w:rPr>
              <w:t>Principal</w:t>
            </w:r>
          </w:p>
        </w:tc>
        <w:tc>
          <w:tcPr>
            <w:tcW w:w="2815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right="275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300,000</w:t>
            </w:r>
          </w:p>
        </w:tc>
        <w:tc>
          <w:tcPr>
            <w:tcW w:w="109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right="231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109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18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106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22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9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155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156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right="197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right="130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</w:tc>
        <w:tc>
          <w:tcPr>
            <w:tcW w:w="949" w:type="dxa"/>
            <w:tcBorders>
              <w:left w:val="nil"/>
            </w:tcBorders>
          </w:tcPr>
          <w:p>
            <w:pPr>
              <w:pStyle w:val="TableParagraph"/>
              <w:spacing w:before="2"/>
              <w:ind w:right="71"/>
              <w:jc w:val="right"/>
              <w:rPr>
                <w:sz w:val="18"/>
              </w:rPr>
            </w:pPr>
            <w:r>
              <w:rPr>
                <w:spacing w:val="-2"/>
                <w:w w:val="95"/>
                <w:sz w:val="18"/>
              </w:rPr>
              <w:t>450,000</w:t>
            </w:r>
          </w:p>
          <w:p>
            <w:pPr>
              <w:pStyle w:val="TableParagraph"/>
              <w:spacing w:line="186" w:lineRule="exact" w:before="4"/>
              <w:ind w:right="70"/>
              <w:jc w:val="right"/>
              <w:rPr>
                <w:sz w:val="18"/>
              </w:rPr>
            </w:pPr>
            <w:r>
              <w:rPr>
                <w:spacing w:val="-4"/>
                <w:w w:val="95"/>
                <w:sz w:val="18"/>
              </w:rPr>
              <w:t>9,000,000</w:t>
            </w:r>
          </w:p>
        </w:tc>
      </w:tr>
      <w:tr>
        <w:trPr>
          <w:trHeight w:val="191" w:hRule="atLeast"/>
        </w:trPr>
        <w:tc>
          <w:tcPr>
            <w:tcW w:w="2662" w:type="dxa"/>
            <w:tcBorders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left="32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z w:val="18"/>
              </w:rPr>
              <w:t>Net</w:t>
            </w:r>
            <w:r>
              <w:rPr>
                <w:rFonts w:ascii="Tahoma"/>
                <w:b/>
                <w:spacing w:val="-8"/>
                <w:sz w:val="18"/>
              </w:rPr>
              <w:t> </w:t>
            </w:r>
            <w:r>
              <w:rPr>
                <w:rFonts w:ascii="Tahoma"/>
                <w:b/>
                <w:sz w:val="18"/>
              </w:rPr>
              <w:t>cash</w:t>
            </w:r>
            <w:r>
              <w:rPr>
                <w:rFonts w:ascii="Tahoma"/>
                <w:b/>
                <w:spacing w:val="-5"/>
                <w:sz w:val="18"/>
              </w:rPr>
              <w:t> </w:t>
            </w:r>
            <w:r>
              <w:rPr>
                <w:rFonts w:ascii="Tahoma"/>
                <w:b/>
                <w:spacing w:val="-2"/>
                <w:sz w:val="18"/>
              </w:rPr>
              <w:t>flows</w:t>
            </w:r>
          </w:p>
        </w:tc>
        <w:tc>
          <w:tcPr>
            <w:tcW w:w="2815" w:type="dxa"/>
            <w:gridSpan w:val="2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20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300,000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168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1095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left="23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1064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13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136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135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994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134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6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450,000</w:t>
            </w:r>
          </w:p>
        </w:tc>
        <w:tc>
          <w:tcPr>
            <w:tcW w:w="949" w:type="dxa"/>
            <w:tcBorders>
              <w:left w:val="nil"/>
            </w:tcBorders>
            <w:shd w:val="clear" w:color="auto" w:fill="D8F7F2"/>
          </w:tcPr>
          <w:p>
            <w:pPr>
              <w:pStyle w:val="TableParagraph"/>
              <w:spacing w:line="171" w:lineRule="exact"/>
              <w:ind w:right="7"/>
              <w:jc w:val="right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spacing w:val="-2"/>
                <w:w w:val="95"/>
                <w:sz w:val="18"/>
              </w:rPr>
              <w:t>9,450,000</w:t>
            </w:r>
          </w:p>
        </w:tc>
      </w:tr>
    </w:tbl>
    <w:p>
      <w:pPr>
        <w:pStyle w:val="BodyText"/>
        <w:spacing w:before="24"/>
      </w:pPr>
    </w:p>
    <w:p>
      <w:pPr>
        <w:pStyle w:val="BodyText"/>
        <w:ind w:left="345"/>
      </w:pPr>
      <w:r>
        <w:rPr/>
        <w:t>We</w:t>
      </w:r>
      <w:r>
        <w:rPr>
          <w:spacing w:val="-14"/>
        </w:rPr>
        <w:t> </w:t>
      </w:r>
      <w:r>
        <w:rPr/>
        <w:t>note</w:t>
      </w:r>
      <w:r>
        <w:rPr>
          <w:spacing w:val="-14"/>
        </w:rPr>
        <w:t> </w:t>
      </w:r>
      <w:r>
        <w:rPr/>
        <w:t>that</w:t>
      </w:r>
      <w:r>
        <w:rPr>
          <w:spacing w:val="-11"/>
        </w:rPr>
        <w:t> </w:t>
      </w:r>
      <w:r>
        <w:rPr/>
        <w:t>Management</w:t>
      </w:r>
      <w:r>
        <w:rPr>
          <w:spacing w:val="-8"/>
        </w:rPr>
        <w:t> </w:t>
      </w:r>
      <w:r>
        <w:rPr/>
        <w:t>expects</w:t>
      </w:r>
      <w:r>
        <w:rPr>
          <w:spacing w:val="-8"/>
        </w:rPr>
        <w:t> </w:t>
      </w:r>
      <w:r>
        <w:rPr/>
        <w:t>to</w:t>
      </w:r>
      <w:r>
        <w:rPr>
          <w:spacing w:val="-13"/>
        </w:rPr>
        <w:t> </w:t>
      </w:r>
      <w:r>
        <w:rPr/>
        <w:t>purchase</w:t>
      </w:r>
      <w:r>
        <w:rPr>
          <w:spacing w:val="-11"/>
        </w:rPr>
        <w:t> </w:t>
      </w:r>
      <w:r>
        <w:rPr/>
        <w:t>this</w:t>
      </w:r>
      <w:r>
        <w:rPr>
          <w:spacing w:val="-11"/>
        </w:rPr>
        <w:t> </w:t>
      </w:r>
      <w:r>
        <w:rPr/>
        <w:t>in</w:t>
      </w:r>
      <w:r>
        <w:rPr>
          <w:spacing w:val="-8"/>
        </w:rPr>
        <w:t> </w:t>
      </w:r>
      <w:r>
        <w:rPr/>
        <w:t>Y2,</w:t>
      </w:r>
      <w:r>
        <w:rPr>
          <w:spacing w:val="-11"/>
        </w:rPr>
        <w:t> </w:t>
      </w:r>
      <w:r>
        <w:rPr/>
        <w:t>generating</w:t>
      </w:r>
      <w:r>
        <w:rPr>
          <w:spacing w:val="-12"/>
        </w:rPr>
        <w:t> </w:t>
      </w:r>
      <w:r>
        <w:rPr/>
        <w:t>coupon</w:t>
      </w:r>
      <w:r>
        <w:rPr>
          <w:spacing w:val="-11"/>
        </w:rPr>
        <w:t> </w:t>
      </w:r>
      <w:r>
        <w:rPr/>
        <w:t>for</w:t>
      </w:r>
      <w:r>
        <w:rPr>
          <w:spacing w:val="-17"/>
        </w:rPr>
        <w:t> </w:t>
      </w:r>
      <w:r>
        <w:rPr/>
        <w:t>8</w:t>
      </w:r>
      <w:r>
        <w:rPr>
          <w:spacing w:val="-11"/>
        </w:rPr>
        <w:t> </w:t>
      </w:r>
      <w:r>
        <w:rPr/>
        <w:t>months</w:t>
      </w:r>
      <w:r>
        <w:rPr>
          <w:spacing w:val="-11"/>
        </w:rPr>
        <w:t> </w:t>
      </w:r>
      <w:r>
        <w:rPr/>
        <w:t>in</w:t>
      </w:r>
      <w:r>
        <w:rPr>
          <w:spacing w:val="-11"/>
        </w:rPr>
        <w:t> </w:t>
      </w:r>
      <w:r>
        <w:rPr>
          <w:spacing w:val="-5"/>
        </w:rPr>
        <w:t>Y2.</w:t>
      </w:r>
    </w:p>
    <w:p>
      <w:pPr>
        <w:pStyle w:val="BodyText"/>
        <w:spacing w:before="20"/>
      </w:pPr>
    </w:p>
    <w:p>
      <w:pPr>
        <w:pStyle w:val="BodyText"/>
        <w:spacing w:line="247" w:lineRule="auto"/>
        <w:ind w:left="345"/>
      </w:pPr>
      <w:r>
        <w:rPr/>
        <w:t>We</w:t>
      </w:r>
      <w:r>
        <w:rPr>
          <w:spacing w:val="-13"/>
        </w:rPr>
        <w:t> </w:t>
      </w:r>
      <w:r>
        <w:rPr/>
        <w:t>note</w:t>
      </w:r>
      <w:r>
        <w:rPr>
          <w:spacing w:val="-13"/>
        </w:rPr>
        <w:t> </w:t>
      </w:r>
      <w:r>
        <w:rPr/>
        <w:t>that</w:t>
      </w:r>
      <w:r>
        <w:rPr>
          <w:spacing w:val="-11"/>
        </w:rPr>
        <w:t> </w:t>
      </w:r>
      <w:r>
        <w:rPr/>
        <w:t>the</w:t>
      </w:r>
      <w:r>
        <w:rPr>
          <w:spacing w:val="-13"/>
        </w:rPr>
        <w:t> </w:t>
      </w:r>
      <w:r>
        <w:rPr/>
        <w:t>government</w:t>
      </w:r>
      <w:r>
        <w:rPr>
          <w:spacing w:val="-13"/>
        </w:rPr>
        <w:t> </w:t>
      </w:r>
      <w:r>
        <w:rPr/>
        <w:t>does</w:t>
      </w:r>
      <w:r>
        <w:rPr>
          <w:spacing w:val="-13"/>
        </w:rPr>
        <w:t> </w:t>
      </w:r>
      <w:r>
        <w:rPr/>
        <w:t>not</w:t>
      </w:r>
      <w:r>
        <w:rPr>
          <w:spacing w:val="-13"/>
        </w:rPr>
        <w:t> </w:t>
      </w:r>
      <w:r>
        <w:rPr/>
        <w:t>typically</w:t>
      </w:r>
      <w:r>
        <w:rPr>
          <w:spacing w:val="-10"/>
        </w:rPr>
        <w:t> </w:t>
      </w:r>
      <w:r>
        <w:rPr/>
        <w:t>issue</w:t>
      </w:r>
      <w:r>
        <w:rPr>
          <w:spacing w:val="-11"/>
        </w:rPr>
        <w:t> </w:t>
      </w:r>
      <w:r>
        <w:rPr/>
        <w:t>8-year</w:t>
      </w:r>
      <w:r>
        <w:rPr>
          <w:spacing w:val="-11"/>
        </w:rPr>
        <w:t> </w:t>
      </w:r>
      <w:r>
        <w:rPr/>
        <w:t>government</w:t>
      </w:r>
      <w:r>
        <w:rPr>
          <w:spacing w:val="-11"/>
        </w:rPr>
        <w:t> </w:t>
      </w:r>
      <w:r>
        <w:rPr/>
        <w:t>bonds,</w:t>
      </w:r>
      <w:r>
        <w:rPr>
          <w:spacing w:val="-13"/>
        </w:rPr>
        <w:t> </w:t>
      </w:r>
      <w:r>
        <w:rPr/>
        <w:t>but</w:t>
      </w:r>
      <w:r>
        <w:rPr>
          <w:spacing w:val="-11"/>
        </w:rPr>
        <w:t> </w:t>
      </w:r>
      <w:r>
        <w:rPr/>
        <w:t>bonds</w:t>
      </w:r>
      <w:r>
        <w:rPr>
          <w:spacing w:val="-13"/>
        </w:rPr>
        <w:t> </w:t>
      </w:r>
      <w:r>
        <w:rPr/>
        <w:t>that</w:t>
      </w:r>
      <w:r>
        <w:rPr>
          <w:spacing w:val="-11"/>
        </w:rPr>
        <w:t> </w:t>
      </w:r>
      <w:r>
        <w:rPr/>
        <w:t>have</w:t>
      </w:r>
      <w:r>
        <w:rPr>
          <w:spacing w:val="-16"/>
        </w:rPr>
        <w:t> </w:t>
      </w:r>
      <w:r>
        <w:rPr/>
        <w:t>already</w:t>
      </w:r>
      <w:r>
        <w:rPr>
          <w:spacing w:val="-11"/>
        </w:rPr>
        <w:t> </w:t>
      </w:r>
      <w:r>
        <w:rPr/>
        <w:t>been</w:t>
      </w:r>
      <w:r>
        <w:rPr>
          <w:spacing w:val="-13"/>
        </w:rPr>
        <w:t> </w:t>
      </w:r>
      <w:r>
        <w:rPr/>
        <w:t>issued can be purchased that have 8 years to maturity.</w:t>
      </w:r>
    </w:p>
    <w:p>
      <w:pPr>
        <w:pStyle w:val="BodyText"/>
        <w:spacing w:before="12"/>
      </w:pPr>
    </w:p>
    <w:p>
      <w:pPr>
        <w:pStyle w:val="BodyText"/>
        <w:ind w:left="345"/>
      </w:pPr>
      <w:r>
        <w:rPr/>
        <w:t>These</w:t>
      </w:r>
      <w:r>
        <w:rPr>
          <w:spacing w:val="-2"/>
        </w:rPr>
        <w:t> </w:t>
      </w:r>
      <w:r>
        <w:rPr/>
        <w:t>are</w:t>
      </w:r>
      <w:r>
        <w:rPr>
          <w:spacing w:val="-2"/>
        </w:rPr>
        <w:t> </w:t>
      </w:r>
      <w:r>
        <w:rPr/>
        <w:t>the forecasts</w:t>
      </w:r>
      <w:r>
        <w:rPr>
          <w:spacing w:val="-1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Management</w:t>
      </w:r>
      <w:r>
        <w:rPr>
          <w:spacing w:val="-5"/>
        </w:rPr>
        <w:t> </w:t>
      </w:r>
      <w:r>
        <w:rPr/>
        <w:t>relating</w:t>
      </w:r>
      <w:r>
        <w:rPr>
          <w:spacing w:val="-4"/>
        </w:rPr>
        <w:t> </w:t>
      </w:r>
      <w:r>
        <w:rPr/>
        <w:t>to the</w:t>
      </w:r>
      <w:r>
        <w:rPr>
          <w:spacing w:val="-2"/>
        </w:rPr>
        <w:t> </w:t>
      </w:r>
      <w:r>
        <w:rPr/>
        <w:t>coupon</w:t>
      </w:r>
      <w:r>
        <w:rPr>
          <w:spacing w:val="-5"/>
        </w:rPr>
        <w:t> </w:t>
      </w:r>
      <w:r>
        <w:rPr/>
        <w:t>payments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the</w:t>
      </w:r>
      <w:r>
        <w:rPr>
          <w:spacing w:val="-8"/>
        </w:rPr>
        <w:t> </w:t>
      </w:r>
      <w:r>
        <w:rPr>
          <w:spacing w:val="-2"/>
        </w:rPr>
        <w:t>principal.</w:t>
      </w:r>
    </w:p>
    <w:p>
      <w:pPr>
        <w:pStyle w:val="BodyText"/>
        <w:spacing w:after="0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4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spacing w:val="-2"/>
        </w:rPr>
        <w:t>RESEARCH</w:t>
      </w:r>
    </w:p>
    <w:p>
      <w:pPr>
        <w:pStyle w:val="Heading2"/>
        <w:spacing w:before="181"/>
        <w:jc w:val="both"/>
      </w:pPr>
      <w:r>
        <w:rPr/>
        <w:t>Quoted</w:t>
      </w:r>
      <w:r>
        <w:rPr>
          <w:spacing w:val="42"/>
        </w:rPr>
        <w:t> </w:t>
      </w:r>
      <w:r>
        <w:rPr/>
        <w:t>Comparable</w:t>
      </w:r>
      <w:r>
        <w:rPr>
          <w:spacing w:val="42"/>
        </w:rPr>
        <w:t> </w:t>
      </w:r>
      <w:r>
        <w:rPr>
          <w:spacing w:val="-2"/>
        </w:rPr>
        <w:t>Companies</w:t>
      </w:r>
    </w:p>
    <w:p>
      <w:pPr>
        <w:pStyle w:val="BodyText"/>
        <w:spacing w:line="249" w:lineRule="auto" w:before="122"/>
        <w:ind w:left="345" w:right="80"/>
        <w:jc w:val="both"/>
      </w:pPr>
      <w:r>
        <w:rPr/>
        <w:t>We have looked at a number of companies that might be considered to have aspects of comparison to Trees4Good. None of</w:t>
      </w:r>
      <w:r>
        <w:rPr>
          <w:spacing w:val="-9"/>
        </w:rPr>
        <w:t> </w:t>
      </w:r>
      <w:r>
        <w:rPr/>
        <w:t>these</w:t>
      </w:r>
      <w:r>
        <w:rPr>
          <w:spacing w:val="-9"/>
        </w:rPr>
        <w:t> </w:t>
      </w:r>
      <w:r>
        <w:rPr/>
        <w:t>companies</w:t>
      </w:r>
      <w:r>
        <w:rPr>
          <w:spacing w:val="-11"/>
        </w:rPr>
        <w:t> </w:t>
      </w:r>
      <w:r>
        <w:rPr/>
        <w:t>are</w:t>
      </w:r>
      <w:r>
        <w:rPr>
          <w:spacing w:val="-6"/>
        </w:rPr>
        <w:t> </w:t>
      </w:r>
      <w:r>
        <w:rPr/>
        <w:t>definitively</w:t>
      </w:r>
      <w:r>
        <w:rPr>
          <w:spacing w:val="-7"/>
        </w:rPr>
        <w:t> </w:t>
      </w:r>
      <w:r>
        <w:rPr/>
        <w:t>comparable,</w:t>
      </w:r>
      <w:r>
        <w:rPr>
          <w:spacing w:val="-6"/>
        </w:rPr>
        <w:t> </w:t>
      </w:r>
      <w:r>
        <w:rPr/>
        <w:t>however</w:t>
      </w:r>
      <w:r>
        <w:rPr>
          <w:spacing w:val="-6"/>
        </w:rPr>
        <w:t> </w:t>
      </w:r>
      <w:r>
        <w:rPr/>
        <w:t>collectively</w:t>
      </w:r>
      <w:r>
        <w:rPr>
          <w:spacing w:val="-5"/>
        </w:rPr>
        <w:t> </w:t>
      </w:r>
      <w:r>
        <w:rPr/>
        <w:t>they</w:t>
      </w:r>
      <w:r>
        <w:rPr>
          <w:spacing w:val="-7"/>
        </w:rPr>
        <w:t> </w:t>
      </w:r>
      <w:r>
        <w:rPr/>
        <w:t>generally</w:t>
      </w:r>
      <w:r>
        <w:rPr>
          <w:spacing w:val="-7"/>
        </w:rPr>
        <w:t> </w:t>
      </w:r>
      <w:r>
        <w:rPr/>
        <w:t>can</w:t>
      </w:r>
      <w:r>
        <w:rPr>
          <w:spacing w:val="-6"/>
        </w:rPr>
        <w:t> </w:t>
      </w:r>
      <w:r>
        <w:rPr/>
        <w:t>be</w:t>
      </w:r>
      <w:r>
        <w:rPr>
          <w:spacing w:val="-12"/>
        </w:rPr>
        <w:t> </w:t>
      </w:r>
      <w:r>
        <w:rPr/>
        <w:t>used</w:t>
      </w:r>
      <w:r>
        <w:rPr>
          <w:spacing w:val="-2"/>
        </w:rPr>
        <w:t> </w:t>
      </w:r>
      <w:r>
        <w:rPr/>
        <w:t>to</w:t>
      </w:r>
      <w:r>
        <w:rPr>
          <w:spacing w:val="-7"/>
        </w:rPr>
        <w:t> </w:t>
      </w:r>
      <w:r>
        <w:rPr/>
        <w:t>provide</w:t>
      </w:r>
      <w:r>
        <w:rPr>
          <w:spacing w:val="-9"/>
        </w:rPr>
        <w:t> </w:t>
      </w:r>
      <w:r>
        <w:rPr/>
        <w:t>benchmarks</w:t>
      </w:r>
      <w:r>
        <w:rPr>
          <w:spacing w:val="-4"/>
        </w:rPr>
        <w:t> </w:t>
      </w:r>
      <w:r>
        <w:rPr/>
        <w:t>for </w:t>
      </w:r>
      <w:r>
        <w:rPr>
          <w:spacing w:val="-4"/>
        </w:rPr>
        <w:t>valuation</w:t>
      </w:r>
      <w:r>
        <w:rPr>
          <w:spacing w:val="-11"/>
        </w:rPr>
        <w:t> </w:t>
      </w:r>
      <w:r>
        <w:rPr>
          <w:spacing w:val="-4"/>
        </w:rPr>
        <w:t>purposes.</w:t>
      </w:r>
      <w:r>
        <w:rPr>
          <w:spacing w:val="-13"/>
        </w:rPr>
        <w:t> </w:t>
      </w:r>
      <w:r>
        <w:rPr>
          <w:spacing w:val="-4"/>
        </w:rPr>
        <w:t>We</w:t>
      </w:r>
      <w:r>
        <w:rPr>
          <w:spacing w:val="-11"/>
        </w:rPr>
        <w:t> </w:t>
      </w:r>
      <w:r>
        <w:rPr>
          <w:spacing w:val="-4"/>
        </w:rPr>
        <w:t>note</w:t>
      </w:r>
      <w:r>
        <w:rPr>
          <w:spacing w:val="-11"/>
        </w:rPr>
        <w:t> </w:t>
      </w:r>
      <w:r>
        <w:rPr>
          <w:spacing w:val="-4"/>
        </w:rPr>
        <w:t>that</w:t>
      </w:r>
      <w:r>
        <w:rPr>
          <w:spacing w:val="-11"/>
        </w:rPr>
        <w:t> </w:t>
      </w:r>
      <w:r>
        <w:rPr>
          <w:spacing w:val="-4"/>
        </w:rPr>
        <w:t>the</w:t>
      </w:r>
      <w:r>
        <w:rPr>
          <w:spacing w:val="-13"/>
        </w:rPr>
        <w:t> </w:t>
      </w:r>
      <w:r>
        <w:rPr>
          <w:spacing w:val="-4"/>
        </w:rPr>
        <w:t>business</w:t>
      </w:r>
      <w:r>
        <w:rPr>
          <w:spacing w:val="-8"/>
        </w:rPr>
        <w:t> </w:t>
      </w:r>
      <w:r>
        <w:rPr>
          <w:spacing w:val="-4"/>
        </w:rPr>
        <w:t>is</w:t>
      </w:r>
      <w:r>
        <w:rPr>
          <w:spacing w:val="-13"/>
        </w:rPr>
        <w:t> </w:t>
      </w:r>
      <w:r>
        <w:rPr>
          <w:spacing w:val="-4"/>
        </w:rPr>
        <w:t>currently</w:t>
      </w:r>
      <w:r>
        <w:rPr>
          <w:spacing w:val="-8"/>
        </w:rPr>
        <w:t> </w:t>
      </w:r>
      <w:r>
        <w:rPr>
          <w:spacing w:val="-4"/>
        </w:rPr>
        <w:t>not</w:t>
      </w:r>
      <w:r>
        <w:rPr>
          <w:spacing w:val="-8"/>
        </w:rPr>
        <w:t> </w:t>
      </w:r>
      <w:r>
        <w:rPr>
          <w:spacing w:val="-4"/>
        </w:rPr>
        <w:t>generating</w:t>
      </w:r>
      <w:r>
        <w:rPr>
          <w:spacing w:val="-11"/>
        </w:rPr>
        <w:t> </w:t>
      </w:r>
      <w:r>
        <w:rPr>
          <w:spacing w:val="-4"/>
        </w:rPr>
        <w:t>revenues</w:t>
      </w:r>
      <w:r>
        <w:rPr>
          <w:spacing w:val="-13"/>
        </w:rPr>
        <w:t> </w:t>
      </w:r>
      <w:r>
        <w:rPr>
          <w:spacing w:val="-4"/>
        </w:rPr>
        <w:t>and</w:t>
      </w:r>
      <w:r>
        <w:rPr>
          <w:spacing w:val="-9"/>
        </w:rPr>
        <w:t> </w:t>
      </w:r>
      <w:r>
        <w:rPr>
          <w:spacing w:val="-4"/>
        </w:rPr>
        <w:t>EBITDA</w:t>
      </w:r>
      <w:r>
        <w:rPr>
          <w:spacing w:val="-13"/>
        </w:rPr>
        <w:t> </w:t>
      </w:r>
      <w:r>
        <w:rPr>
          <w:spacing w:val="-4"/>
        </w:rPr>
        <w:t>margins</w:t>
      </w:r>
      <w:r>
        <w:rPr>
          <w:spacing w:val="-13"/>
        </w:rPr>
        <w:t> </w:t>
      </w:r>
      <w:r>
        <w:rPr>
          <w:spacing w:val="-4"/>
        </w:rPr>
        <w:t>are</w:t>
      </w:r>
      <w:r>
        <w:rPr>
          <w:spacing w:val="-8"/>
        </w:rPr>
        <w:t> </w:t>
      </w:r>
      <w:r>
        <w:rPr>
          <w:spacing w:val="-4"/>
        </w:rPr>
        <w:t>negative</w:t>
      </w:r>
      <w:r>
        <w:rPr>
          <w:spacing w:val="-13"/>
        </w:rPr>
        <w:t> </w:t>
      </w:r>
      <w:r>
        <w:rPr>
          <w:spacing w:val="-4"/>
        </w:rPr>
        <w:t>and</w:t>
      </w:r>
      <w:r>
        <w:rPr>
          <w:spacing w:val="-9"/>
        </w:rPr>
        <w:t> </w:t>
      </w:r>
      <w:r>
        <w:rPr>
          <w:spacing w:val="-4"/>
        </w:rPr>
        <w:t>have </w:t>
      </w:r>
      <w:r>
        <w:rPr/>
        <w:t>therefore</w:t>
      </w:r>
      <w:r>
        <w:rPr>
          <w:spacing w:val="-9"/>
        </w:rPr>
        <w:t> </w:t>
      </w:r>
      <w:r>
        <w:rPr/>
        <w:t>placed</w:t>
      </w:r>
      <w:r>
        <w:rPr>
          <w:spacing w:val="-5"/>
        </w:rPr>
        <w:t> </w:t>
      </w:r>
      <w:r>
        <w:rPr/>
        <w:t>more</w:t>
      </w:r>
      <w:r>
        <w:rPr>
          <w:spacing w:val="-6"/>
        </w:rPr>
        <w:t> </w:t>
      </w:r>
      <w:r>
        <w:rPr/>
        <w:t>emphasis</w:t>
      </w:r>
      <w:r>
        <w:rPr>
          <w:spacing w:val="-6"/>
        </w:rPr>
        <w:t> </w:t>
      </w:r>
      <w:r>
        <w:rPr/>
        <w:t>on</w:t>
      </w:r>
      <w:r>
        <w:rPr>
          <w:spacing w:val="-9"/>
        </w:rPr>
        <w:t> </w:t>
      </w:r>
      <w:r>
        <w:rPr/>
        <w:t>using</w:t>
      </w:r>
      <w:r>
        <w:rPr>
          <w:spacing w:val="-10"/>
        </w:rPr>
        <w:t> </w:t>
      </w:r>
      <w:r>
        <w:rPr/>
        <w:t>the</w:t>
      </w:r>
      <w:r>
        <w:rPr>
          <w:spacing w:val="-4"/>
        </w:rPr>
        <w:t> </w:t>
      </w:r>
      <w:r>
        <w:rPr/>
        <w:t>discounted</w:t>
      </w:r>
      <w:r>
        <w:rPr>
          <w:spacing w:val="-8"/>
        </w:rPr>
        <w:t> </w:t>
      </w:r>
      <w:r>
        <w:rPr/>
        <w:t>cash</w:t>
      </w:r>
      <w:r>
        <w:rPr>
          <w:spacing w:val="-9"/>
        </w:rPr>
        <w:t> </w:t>
      </w:r>
      <w:r>
        <w:rPr/>
        <w:t>flow</w:t>
      </w:r>
      <w:r>
        <w:rPr>
          <w:spacing w:val="-9"/>
        </w:rPr>
        <w:t> </w:t>
      </w:r>
      <w:r>
        <w:rPr/>
        <w:t>method.</w:t>
      </w:r>
      <w:r>
        <w:rPr>
          <w:spacing w:val="-6"/>
        </w:rPr>
        <w:t> </w:t>
      </w:r>
      <w:r>
        <w:rPr/>
        <w:t>The</w:t>
      </w:r>
      <w:r>
        <w:rPr>
          <w:spacing w:val="-9"/>
        </w:rPr>
        <w:t> </w:t>
      </w:r>
      <w:r>
        <w:rPr/>
        <w:t>tables</w:t>
      </w:r>
      <w:r>
        <w:rPr>
          <w:spacing w:val="-6"/>
        </w:rPr>
        <w:t> </w:t>
      </w:r>
      <w:r>
        <w:rPr/>
        <w:t>below</w:t>
      </w:r>
      <w:r>
        <w:rPr>
          <w:spacing w:val="-4"/>
        </w:rPr>
        <w:t> </w:t>
      </w:r>
      <w:r>
        <w:rPr/>
        <w:t>set</w:t>
      </w:r>
      <w:r>
        <w:rPr>
          <w:spacing w:val="-6"/>
        </w:rPr>
        <w:t> </w:t>
      </w:r>
      <w:r>
        <w:rPr/>
        <w:t>out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summary</w:t>
      </w:r>
      <w:r>
        <w:rPr>
          <w:spacing w:val="-9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key facts</w:t>
      </w:r>
      <w:r>
        <w:rPr>
          <w:spacing w:val="-8"/>
        </w:rPr>
        <w:t> </w:t>
      </w:r>
      <w:r>
        <w:rPr/>
        <w:t>and</w:t>
      </w:r>
      <w:r>
        <w:rPr>
          <w:spacing w:val="-4"/>
        </w:rPr>
        <w:t> </w:t>
      </w:r>
      <w:r>
        <w:rPr/>
        <w:t>multiples</w:t>
      </w:r>
      <w:r>
        <w:rPr>
          <w:spacing w:val="-8"/>
        </w:rPr>
        <w:t> </w:t>
      </w:r>
      <w:r>
        <w:rPr/>
        <w:t>/</w:t>
      </w:r>
      <w:r>
        <w:rPr>
          <w:spacing w:val="-8"/>
        </w:rPr>
        <w:t> </w:t>
      </w:r>
      <w:r>
        <w:rPr/>
        <w:t>(Source:</w:t>
      </w:r>
      <w:r>
        <w:rPr>
          <w:spacing w:val="-5"/>
        </w:rPr>
        <w:t> </w:t>
      </w:r>
      <w:r>
        <w:rPr/>
        <w:t>S&amp;P</w:t>
      </w:r>
      <w:r>
        <w:rPr>
          <w:spacing w:val="-5"/>
        </w:rPr>
        <w:t> </w:t>
      </w:r>
      <w:r>
        <w:rPr/>
        <w:t>CapIQ):</w:t>
      </w:r>
    </w:p>
    <w:p>
      <w:pPr>
        <w:pStyle w:val="BodyText"/>
        <w:spacing w:before="2"/>
        <w:rPr>
          <w:sz w:val="8"/>
        </w:rPr>
      </w:pPr>
    </w:p>
    <w:tbl>
      <w:tblPr>
        <w:tblW w:w="0" w:type="auto"/>
        <w:jc w:val="left"/>
        <w:tblInd w:w="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0"/>
        <w:gridCol w:w="539"/>
        <w:gridCol w:w="826"/>
        <w:gridCol w:w="766"/>
        <w:gridCol w:w="525"/>
        <w:gridCol w:w="485"/>
        <w:gridCol w:w="423"/>
        <w:gridCol w:w="593"/>
        <w:gridCol w:w="564"/>
        <w:gridCol w:w="787"/>
        <w:gridCol w:w="679"/>
        <w:gridCol w:w="637"/>
        <w:gridCol w:w="578"/>
        <w:gridCol w:w="398"/>
        <w:gridCol w:w="451"/>
        <w:gridCol w:w="502"/>
        <w:gridCol w:w="3881"/>
      </w:tblGrid>
      <w:tr>
        <w:trPr>
          <w:trHeight w:val="567" w:hRule="atLeast"/>
        </w:trPr>
        <w:tc>
          <w:tcPr>
            <w:tcW w:w="98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left="19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w w:val="105"/>
                <w:sz w:val="10"/>
              </w:rPr>
              <w:t>Company</w:t>
            </w:r>
            <w:r>
              <w:rPr>
                <w:rFonts w:ascii="Tahoma"/>
                <w:b/>
                <w:color w:val="FFFFFF"/>
                <w:spacing w:val="13"/>
                <w:w w:val="11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w w:val="110"/>
                <w:sz w:val="10"/>
              </w:rPr>
              <w:t>Name</w:t>
            </w:r>
          </w:p>
        </w:tc>
        <w:tc>
          <w:tcPr>
            <w:tcW w:w="539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left="71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2"/>
                <w:sz w:val="10"/>
              </w:rPr>
              <w:t>Country</w:t>
            </w:r>
          </w:p>
        </w:tc>
        <w:tc>
          <w:tcPr>
            <w:tcW w:w="826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left="9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Last</w:t>
            </w:r>
            <w:r>
              <w:rPr>
                <w:rFonts w:ascii="Tahoma"/>
                <w:b/>
                <w:color w:val="FFFFFF"/>
                <w:spacing w:val="-5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Year</w:t>
            </w:r>
            <w:r>
              <w:rPr>
                <w:rFonts w:ascii="Tahoma"/>
                <w:b/>
                <w:color w:val="FFFFFF"/>
                <w:spacing w:val="-5"/>
                <w:sz w:val="10"/>
              </w:rPr>
              <w:t> End</w:t>
            </w:r>
          </w:p>
        </w:tc>
        <w:tc>
          <w:tcPr>
            <w:tcW w:w="766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left="16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orted</w:t>
            </w:r>
            <w:r>
              <w:rPr>
                <w:rFonts w:ascii="Tahoma"/>
                <w:b/>
                <w:color w:val="FFFFFF"/>
                <w:spacing w:val="-2"/>
                <w:sz w:val="10"/>
              </w:rPr>
              <w:t> Turnover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3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right="24"/>
              <w:jc w:val="right"/>
              <w:rPr>
                <w:rFonts w:ascii="Tahoma" w:hAnsi="Tahoma"/>
                <w:b/>
                <w:sz w:val="9"/>
              </w:rPr>
            </w:pPr>
            <w:r>
              <w:rPr>
                <w:rFonts w:ascii="Tahoma" w:hAnsi="Tahoma"/>
                <w:b/>
                <w:color w:val="FFFFFF"/>
                <w:spacing w:val="-5"/>
                <w:sz w:val="9"/>
              </w:rPr>
              <w:t>£'m</w:t>
            </w:r>
          </w:p>
        </w:tc>
        <w:tc>
          <w:tcPr>
            <w:tcW w:w="525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167" w:right="16" w:hanging="140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2"/>
                <w:sz w:val="10"/>
              </w:rPr>
              <w:t>Reported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w w:val="90"/>
                <w:sz w:val="10"/>
              </w:rPr>
              <w:t>EBITDA</w:t>
            </w:r>
          </w:p>
          <w:p>
            <w:pPr>
              <w:pStyle w:val="TableParagraph"/>
              <w:spacing w:before="57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338"/>
              <w:rPr>
                <w:rFonts w:ascii="Tahoma" w:hAnsi="Tahoma"/>
                <w:b/>
                <w:sz w:val="9"/>
              </w:rPr>
            </w:pPr>
            <w:r>
              <w:rPr>
                <w:rFonts w:ascii="Tahoma" w:hAnsi="Tahoma"/>
                <w:b/>
                <w:color w:val="FFFFFF"/>
                <w:spacing w:val="-5"/>
                <w:sz w:val="9"/>
              </w:rPr>
              <w:t>£'m</w:t>
            </w:r>
          </w:p>
        </w:tc>
        <w:tc>
          <w:tcPr>
            <w:tcW w:w="485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left="290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5"/>
                <w:sz w:val="10"/>
              </w:rPr>
              <w:t>TEV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3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95"/>
              <w:rPr>
                <w:rFonts w:ascii="Tahoma" w:hAnsi="Tahoma"/>
                <w:b/>
                <w:sz w:val="9"/>
              </w:rPr>
            </w:pPr>
            <w:r>
              <w:rPr>
                <w:rFonts w:ascii="Tahoma" w:hAnsi="Tahoma"/>
                <w:b/>
                <w:color w:val="FFFFFF"/>
                <w:spacing w:val="-5"/>
                <w:sz w:val="9"/>
              </w:rPr>
              <w:t>£'m</w:t>
            </w:r>
          </w:p>
        </w:tc>
        <w:tc>
          <w:tcPr>
            <w:tcW w:w="423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153" w:right="17" w:firstLine="67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4"/>
                <w:sz w:val="10"/>
              </w:rPr>
              <w:t>Net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0"/>
              </w:rPr>
              <w:t>Debt</w:t>
            </w:r>
          </w:p>
          <w:p>
            <w:pPr>
              <w:pStyle w:val="TableParagraph"/>
              <w:spacing w:before="57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234"/>
              <w:rPr>
                <w:rFonts w:ascii="Tahoma" w:hAnsi="Tahoma"/>
                <w:b/>
                <w:sz w:val="9"/>
              </w:rPr>
            </w:pPr>
            <w:r>
              <w:rPr>
                <w:rFonts w:ascii="Tahoma" w:hAnsi="Tahoma"/>
                <w:b/>
                <w:color w:val="FFFFFF"/>
                <w:spacing w:val="-5"/>
                <w:sz w:val="9"/>
              </w:rPr>
              <w:t>£'m</w:t>
            </w:r>
          </w:p>
        </w:tc>
        <w:tc>
          <w:tcPr>
            <w:tcW w:w="593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306" w:hanging="137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2"/>
                <w:sz w:val="10"/>
              </w:rPr>
              <w:t>Market</w:t>
            </w:r>
            <w:r>
              <w:rPr>
                <w:rFonts w:ascii="Tahoma"/>
                <w:b/>
                <w:color w:val="FFFFFF"/>
                <w:spacing w:val="40"/>
                <w:w w:val="105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5"/>
                <w:w w:val="105"/>
                <w:sz w:val="10"/>
              </w:rPr>
              <w:t>Cap</w:t>
            </w:r>
          </w:p>
          <w:p>
            <w:pPr>
              <w:pStyle w:val="TableParagraph"/>
              <w:spacing w:before="57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368"/>
              <w:rPr>
                <w:rFonts w:ascii="Tahoma" w:hAnsi="Tahoma"/>
                <w:b/>
                <w:sz w:val="9"/>
              </w:rPr>
            </w:pPr>
            <w:r>
              <w:rPr>
                <w:rFonts w:ascii="Tahoma" w:hAnsi="Tahoma"/>
                <w:b/>
                <w:color w:val="FFFFFF"/>
                <w:spacing w:val="-5"/>
                <w:sz w:val="9"/>
              </w:rPr>
              <w:t>£'m</w:t>
            </w:r>
          </w:p>
        </w:tc>
        <w:tc>
          <w:tcPr>
            <w:tcW w:w="564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left="56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2"/>
                <w:sz w:val="10"/>
              </w:rPr>
              <w:t>Gearing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83"/>
              <w:rPr>
                <w:sz w:val="10"/>
              </w:rPr>
            </w:pPr>
          </w:p>
          <w:p>
            <w:pPr>
              <w:pStyle w:val="TableParagraph"/>
              <w:spacing w:line="97" w:lineRule="exact"/>
              <w:ind w:left="313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5"/>
                <w:w w:val="95"/>
                <w:sz w:val="9"/>
              </w:rPr>
              <w:t>(%)</w:t>
            </w:r>
          </w:p>
        </w:tc>
        <w:tc>
          <w:tcPr>
            <w:tcW w:w="787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83" w:firstLine="187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2"/>
                <w:sz w:val="10"/>
              </w:rPr>
              <w:t>Reported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0"/>
              </w:rPr>
              <w:t>TEV/Revenue</w:t>
            </w:r>
          </w:p>
        </w:tc>
        <w:tc>
          <w:tcPr>
            <w:tcW w:w="679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30" w:firstLine="76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2"/>
                <w:sz w:val="10"/>
              </w:rPr>
              <w:t>Reported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w w:val="90"/>
                <w:sz w:val="10"/>
              </w:rPr>
              <w:t>TEV/EBITDA</w:t>
            </w:r>
          </w:p>
        </w:tc>
        <w:tc>
          <w:tcPr>
            <w:tcW w:w="637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4" w:lineRule="auto" w:before="4"/>
              <w:ind w:left="81" w:right="46" w:firstLine="182"/>
              <w:jc w:val="both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Year</w:t>
            </w:r>
            <w:r>
              <w:rPr>
                <w:rFonts w:ascii="Tahoma"/>
                <w:b/>
                <w:color w:val="FFFFFF"/>
                <w:spacing w:val="-8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1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10"/>
              </w:rPr>
              <w:t>Reported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w w:val="90"/>
                <w:sz w:val="10"/>
              </w:rPr>
              <w:t>EV/EBITDA</w:t>
            </w:r>
          </w:p>
        </w:tc>
        <w:tc>
          <w:tcPr>
            <w:tcW w:w="578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4" w:lineRule="auto" w:before="4"/>
              <w:ind w:left="27" w:right="43" w:firstLine="180"/>
              <w:jc w:val="both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Year</w:t>
            </w:r>
            <w:r>
              <w:rPr>
                <w:rFonts w:ascii="Tahoma"/>
                <w:b/>
                <w:color w:val="FFFFFF"/>
                <w:spacing w:val="-8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2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10"/>
              </w:rPr>
              <w:t>Reported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w w:val="90"/>
                <w:sz w:val="10"/>
              </w:rPr>
              <w:t>EV/EBITDA</w:t>
            </w:r>
          </w:p>
        </w:tc>
        <w:tc>
          <w:tcPr>
            <w:tcW w:w="398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before="4"/>
              <w:ind w:right="55"/>
              <w:jc w:val="right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Beta</w:t>
            </w:r>
            <w:r>
              <w:rPr>
                <w:rFonts w:ascii="Tahoma"/>
                <w:b/>
                <w:color w:val="FFFFFF"/>
                <w:spacing w:val="1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12"/>
                <w:sz w:val="10"/>
              </w:rPr>
              <w:t>3</w:t>
            </w:r>
          </w:p>
          <w:p>
            <w:pPr>
              <w:pStyle w:val="TableParagraph"/>
              <w:spacing w:before="14"/>
              <w:ind w:right="55"/>
              <w:jc w:val="right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5"/>
                <w:sz w:val="10"/>
              </w:rPr>
              <w:t>yr</w:t>
            </w:r>
          </w:p>
        </w:tc>
        <w:tc>
          <w:tcPr>
            <w:tcW w:w="451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28" w:right="48" w:firstLine="47"/>
              <w:jc w:val="right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1</w:t>
            </w:r>
            <w:r>
              <w:rPr>
                <w:rFonts w:ascii="Tahoma"/>
                <w:b/>
                <w:color w:val="FFFFFF"/>
                <w:spacing w:val="-8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Yea</w:t>
            </w:r>
            <w:r>
              <w:rPr>
                <w:rFonts w:ascii="Tahoma"/>
                <w:b/>
                <w:color w:val="FFFFFF"/>
                <w:sz w:val="10"/>
              </w:rPr>
              <w:t>r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5"/>
                <w:sz w:val="10"/>
              </w:rPr>
              <w:t>Volatilit</w:t>
            </w:r>
          </w:p>
          <w:p>
            <w:pPr>
              <w:pStyle w:val="TableParagraph"/>
              <w:spacing w:line="119" w:lineRule="exact"/>
              <w:ind w:right="50"/>
              <w:jc w:val="right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10"/>
                <w:w w:val="105"/>
                <w:sz w:val="10"/>
              </w:rPr>
              <w:t>y</w:t>
            </w:r>
          </w:p>
        </w:tc>
        <w:tc>
          <w:tcPr>
            <w:tcW w:w="502" w:type="dxa"/>
            <w:tcBorders>
              <w:top w:val="single" w:sz="2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16" w:right="43" w:firstLine="108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3</w:t>
            </w:r>
            <w:r>
              <w:rPr>
                <w:rFonts w:ascii="Tahoma"/>
                <w:b/>
                <w:color w:val="FFFFFF"/>
                <w:spacing w:val="-8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Yea</w:t>
            </w:r>
            <w:r>
              <w:rPr>
                <w:rFonts w:ascii="Tahoma"/>
                <w:b/>
                <w:color w:val="FFFFFF"/>
                <w:sz w:val="10"/>
              </w:rPr>
              <w:t>r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4"/>
                <w:sz w:val="10"/>
              </w:rPr>
              <w:t>Volatility</w:t>
            </w:r>
          </w:p>
        </w:tc>
        <w:tc>
          <w:tcPr>
            <w:tcW w:w="3881" w:type="dxa"/>
            <w:tcBorders>
              <w:top w:val="single" w:sz="2" w:space="0" w:color="000000"/>
              <w:right w:val="single" w:sz="4" w:space="0" w:color="000000"/>
            </w:tcBorders>
            <w:shd w:val="clear" w:color="auto" w:fill="0F059E"/>
          </w:tcPr>
          <w:p>
            <w:pPr>
              <w:pStyle w:val="TableParagraph"/>
              <w:spacing w:line="266" w:lineRule="auto" w:before="4"/>
              <w:ind w:left="13" w:right="2884" w:firstLine="48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z w:val="10"/>
              </w:rPr>
              <w:t>5</w:t>
            </w:r>
            <w:r>
              <w:rPr>
                <w:rFonts w:ascii="Tahoma"/>
                <w:b/>
                <w:color w:val="FFFFFF"/>
                <w:spacing w:val="-8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Year</w:t>
            </w:r>
            <w:r>
              <w:rPr>
                <w:rFonts w:ascii="Tahoma"/>
                <w:b/>
                <w:color w:val="FFFFFF"/>
                <w:spacing w:val="-7"/>
                <w:sz w:val="10"/>
              </w:rPr>
              <w:t> </w:t>
            </w:r>
            <w:r>
              <w:rPr>
                <w:rFonts w:ascii="Tahoma"/>
                <w:b/>
                <w:color w:val="FFFFFF"/>
                <w:sz w:val="10"/>
              </w:rPr>
              <w:t>Description</w:t>
            </w:r>
            <w:r>
              <w:rPr>
                <w:rFonts w:ascii="Tahoma"/>
                <w:b/>
                <w:color w:val="FFFFFF"/>
                <w:spacing w:val="40"/>
                <w:sz w:val="1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10"/>
              </w:rPr>
              <w:t>Volatilit</w:t>
            </w:r>
          </w:p>
          <w:p>
            <w:pPr>
              <w:pStyle w:val="TableParagraph"/>
              <w:spacing w:line="119" w:lineRule="exact"/>
              <w:ind w:left="323"/>
              <w:rPr>
                <w:rFonts w:ascii="Tahoma"/>
                <w:b/>
                <w:sz w:val="10"/>
              </w:rPr>
            </w:pPr>
            <w:r>
              <w:rPr>
                <w:rFonts w:ascii="Tahoma"/>
                <w:b/>
                <w:color w:val="FFFFFF"/>
                <w:spacing w:val="-10"/>
                <w:w w:val="105"/>
                <w:sz w:val="10"/>
              </w:rPr>
              <w:t>y</w:t>
            </w:r>
          </w:p>
        </w:tc>
      </w:tr>
      <w:tr>
        <w:trPr>
          <w:trHeight w:val="413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2"/>
              <w:ind w:left="23" w:right="55"/>
              <w:rPr>
                <w:sz w:val="11"/>
              </w:rPr>
            </w:pPr>
            <w:r>
              <w:rPr>
                <w:sz w:val="11"/>
              </w:rPr>
              <w:t>York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Timber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Holdings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Limited</w:t>
            </w:r>
          </w:p>
        </w:tc>
        <w:tc>
          <w:tcPr>
            <w:tcW w:w="539" w:type="dxa"/>
          </w:tcPr>
          <w:p>
            <w:pPr>
              <w:pStyle w:val="TableParagraph"/>
              <w:spacing w:before="2"/>
              <w:ind w:left="76"/>
              <w:rPr>
                <w:sz w:val="11"/>
              </w:rPr>
            </w:pPr>
            <w:r>
              <w:rPr>
                <w:w w:val="90"/>
                <w:sz w:val="11"/>
              </w:rPr>
              <w:t>South</w:t>
            </w:r>
            <w:r>
              <w:rPr>
                <w:spacing w:val="-6"/>
                <w:w w:val="90"/>
                <w:sz w:val="11"/>
              </w:rPr>
              <w:t> </w:t>
            </w:r>
            <w:r>
              <w:rPr>
                <w:spacing w:val="-5"/>
                <w:sz w:val="11"/>
              </w:rPr>
              <w:t>Af</w:t>
            </w:r>
          </w:p>
        </w:tc>
        <w:tc>
          <w:tcPr>
            <w:tcW w:w="826" w:type="dxa"/>
          </w:tcPr>
          <w:p>
            <w:pPr>
              <w:pStyle w:val="TableParagraph"/>
              <w:spacing w:before="2"/>
              <w:ind w:right="9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30-Jun-</w:t>
            </w:r>
            <w:r>
              <w:rPr>
                <w:spacing w:val="-4"/>
                <w:w w:val="85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2"/>
              <w:ind w:right="28"/>
              <w:jc w:val="right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74.1</w:t>
            </w:r>
          </w:p>
        </w:tc>
        <w:tc>
          <w:tcPr>
            <w:tcW w:w="525" w:type="dxa"/>
          </w:tcPr>
          <w:p>
            <w:pPr>
              <w:pStyle w:val="TableParagraph"/>
              <w:spacing w:before="2"/>
              <w:ind w:right="28"/>
              <w:jc w:val="right"/>
              <w:rPr>
                <w:sz w:val="11"/>
              </w:rPr>
            </w:pPr>
            <w:r>
              <w:rPr>
                <w:spacing w:val="-5"/>
                <w:w w:val="90"/>
                <w:sz w:val="11"/>
              </w:rPr>
              <w:t>3.2</w:t>
            </w:r>
          </w:p>
        </w:tc>
        <w:tc>
          <w:tcPr>
            <w:tcW w:w="485" w:type="dxa"/>
          </w:tcPr>
          <w:p>
            <w:pPr>
              <w:pStyle w:val="TableParagraph"/>
              <w:spacing w:before="2"/>
              <w:ind w:right="31"/>
              <w:jc w:val="right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60.7</w:t>
            </w:r>
          </w:p>
        </w:tc>
        <w:tc>
          <w:tcPr>
            <w:tcW w:w="423" w:type="dxa"/>
          </w:tcPr>
          <w:p>
            <w:pPr>
              <w:pStyle w:val="TableParagraph"/>
              <w:spacing w:before="2"/>
              <w:ind w:right="31"/>
              <w:jc w:val="right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18.1</w:t>
            </w:r>
          </w:p>
        </w:tc>
        <w:tc>
          <w:tcPr>
            <w:tcW w:w="593" w:type="dxa"/>
          </w:tcPr>
          <w:p>
            <w:pPr>
              <w:pStyle w:val="TableParagraph"/>
              <w:spacing w:before="2"/>
              <w:ind w:right="65"/>
              <w:jc w:val="right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42.9</w:t>
            </w:r>
          </w:p>
        </w:tc>
        <w:tc>
          <w:tcPr>
            <w:tcW w:w="564" w:type="dxa"/>
          </w:tcPr>
          <w:p>
            <w:pPr>
              <w:pStyle w:val="TableParagraph"/>
              <w:spacing w:before="2"/>
              <w:ind w:left="159"/>
              <w:jc w:val="center"/>
              <w:rPr>
                <w:sz w:val="11"/>
              </w:rPr>
            </w:pPr>
            <w:r>
              <w:rPr>
                <w:spacing w:val="-5"/>
                <w:w w:val="90"/>
                <w:sz w:val="11"/>
              </w:rPr>
              <w:t>42%</w:t>
            </w:r>
          </w:p>
        </w:tc>
        <w:tc>
          <w:tcPr>
            <w:tcW w:w="787" w:type="dxa"/>
          </w:tcPr>
          <w:p>
            <w:pPr>
              <w:pStyle w:val="TableParagraph"/>
              <w:spacing w:before="2"/>
              <w:ind w:right="46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0.82x</w:t>
            </w:r>
          </w:p>
        </w:tc>
        <w:tc>
          <w:tcPr>
            <w:tcW w:w="679" w:type="dxa"/>
          </w:tcPr>
          <w:p>
            <w:pPr>
              <w:pStyle w:val="TableParagraph"/>
              <w:spacing w:before="2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16.79x</w:t>
            </w:r>
          </w:p>
        </w:tc>
        <w:tc>
          <w:tcPr>
            <w:tcW w:w="637" w:type="dxa"/>
          </w:tcPr>
          <w:p>
            <w:pPr>
              <w:pStyle w:val="TableParagraph"/>
              <w:spacing w:before="2"/>
              <w:ind w:right="52"/>
              <w:jc w:val="righ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NA</w:t>
            </w:r>
          </w:p>
        </w:tc>
        <w:tc>
          <w:tcPr>
            <w:tcW w:w="578" w:type="dxa"/>
          </w:tcPr>
          <w:p>
            <w:pPr>
              <w:pStyle w:val="TableParagraph"/>
              <w:spacing w:before="2"/>
              <w:ind w:right="50"/>
              <w:jc w:val="right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NA</w:t>
            </w:r>
          </w:p>
        </w:tc>
        <w:tc>
          <w:tcPr>
            <w:tcW w:w="398" w:type="dxa"/>
          </w:tcPr>
          <w:p>
            <w:pPr>
              <w:pStyle w:val="TableParagraph"/>
              <w:spacing w:before="2"/>
              <w:ind w:left="56" w:right="1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0.22</w:t>
            </w:r>
          </w:p>
        </w:tc>
        <w:tc>
          <w:tcPr>
            <w:tcW w:w="451" w:type="dxa"/>
          </w:tcPr>
          <w:p>
            <w:pPr>
              <w:pStyle w:val="TableParagraph"/>
              <w:spacing w:before="2"/>
              <w:ind w:left="39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36.9%</w:t>
            </w:r>
          </w:p>
        </w:tc>
        <w:tc>
          <w:tcPr>
            <w:tcW w:w="502" w:type="dxa"/>
          </w:tcPr>
          <w:p>
            <w:pPr>
              <w:pStyle w:val="TableParagraph"/>
              <w:spacing w:before="2"/>
              <w:ind w:right="55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40.6%</w:t>
            </w:r>
          </w:p>
        </w:tc>
        <w:tc>
          <w:tcPr>
            <w:tcW w:w="388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424" w:right="49" w:hanging="343"/>
              <w:rPr>
                <w:sz w:val="11"/>
              </w:rPr>
            </w:pPr>
            <w:r>
              <w:rPr>
                <w:spacing w:val="-2"/>
                <w:sz w:val="11"/>
              </w:rPr>
              <w:t>51.0%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York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Timber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Holdings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Limited,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2"/>
                <w:sz w:val="11"/>
              </w:rPr>
              <w:t>an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2"/>
                <w:sz w:val="11"/>
              </w:rPr>
              <w:t>investment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holding</w:t>
            </w:r>
            <w:r>
              <w:rPr>
                <w:spacing w:val="-12"/>
                <w:sz w:val="11"/>
              </w:rPr>
              <w:t> </w:t>
            </w:r>
            <w:r>
              <w:rPr>
                <w:spacing w:val="-2"/>
                <w:sz w:val="11"/>
              </w:rPr>
              <w:t>company,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engages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forestry,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sawmilling,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plywood,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wholesale,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and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farming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businesses in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South Africa and internationally.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It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4"/>
                <w:sz w:val="11"/>
              </w:rPr>
              <w:t>operates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4"/>
                <w:sz w:val="11"/>
              </w:rPr>
              <w:t>through four segments: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4"/>
                <w:sz w:val="11"/>
              </w:rPr>
              <w:t>Processing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4"/>
                <w:sz w:val="11"/>
              </w:rPr>
              <w:t>Plants, Forestry and</w:t>
            </w:r>
          </w:p>
          <w:p>
            <w:pPr>
              <w:pStyle w:val="TableParagraph"/>
              <w:spacing w:before="32"/>
              <w:ind w:left="424" w:hanging="344"/>
              <w:rPr>
                <w:sz w:val="11"/>
              </w:rPr>
            </w:pPr>
            <w:r>
              <w:rPr>
                <w:sz w:val="11"/>
              </w:rPr>
              <w:t>28.7%</w:t>
            </w:r>
            <w:r>
              <w:rPr>
                <w:spacing w:val="-12"/>
                <w:sz w:val="11"/>
              </w:rPr>
              <w:t> </w:t>
            </w:r>
            <w:r>
              <w:rPr>
                <w:sz w:val="11"/>
              </w:rPr>
              <w:t>Weyerhaeuser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Company,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one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of</w:t>
            </w:r>
            <w:r>
              <w:rPr>
                <w:spacing w:val="-11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world's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largest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private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owners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of</w:t>
            </w:r>
            <w:r>
              <w:rPr>
                <w:spacing w:val="-11"/>
                <w:sz w:val="11"/>
              </w:rPr>
              <w:t> </w:t>
            </w:r>
            <w:r>
              <w:rPr>
                <w:sz w:val="11"/>
              </w:rPr>
              <w:t>timberlands,</w:t>
            </w:r>
            <w:r>
              <w:rPr>
                <w:spacing w:val="-12"/>
                <w:sz w:val="11"/>
              </w:rPr>
              <w:t> </w:t>
            </w:r>
            <w:r>
              <w:rPr>
                <w:sz w:val="11"/>
              </w:rPr>
              <w:t>began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operations</w:t>
            </w:r>
            <w:r>
              <w:rPr>
                <w:spacing w:val="-11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1900.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We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own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or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control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approximately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11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million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acres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of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2"/>
                <w:sz w:val="11"/>
              </w:rPr>
              <w:t>timberlands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in</w:t>
            </w:r>
            <w:r>
              <w:rPr>
                <w:spacing w:val="-13"/>
                <w:sz w:val="11"/>
              </w:rPr>
              <w:t> </w:t>
            </w:r>
            <w:r>
              <w:rPr>
                <w:spacing w:val="-2"/>
                <w:sz w:val="11"/>
              </w:rPr>
              <w:t>the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U.S.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and manage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additional timberlands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under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long-term licenses</w:t>
            </w:r>
          </w:p>
          <w:p>
            <w:pPr>
              <w:pStyle w:val="TableParagraph"/>
              <w:spacing w:line="228" w:lineRule="auto" w:before="6"/>
              <w:ind w:left="80" w:firstLine="343"/>
              <w:rPr>
                <w:sz w:val="11"/>
              </w:rPr>
            </w:pPr>
            <w:r>
              <w:rPr>
                <w:sz w:val="11"/>
              </w:rPr>
              <w:t>in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Canada.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We</w:t>
            </w:r>
            <w:r>
              <w:rPr>
                <w:spacing w:val="-11"/>
                <w:sz w:val="11"/>
              </w:rPr>
              <w:t> </w:t>
            </w:r>
            <w:r>
              <w:rPr>
                <w:sz w:val="11"/>
              </w:rPr>
              <w:t>manage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these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timberlands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on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a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sustainable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29.7%</w:t>
            </w:r>
            <w:r>
              <w:rPr>
                <w:spacing w:val="10"/>
                <w:sz w:val="11"/>
              </w:rPr>
              <w:t> </w:t>
            </w:r>
            <w:r>
              <w:rPr>
                <w:spacing w:val="-2"/>
                <w:sz w:val="11"/>
              </w:rPr>
              <w:t>PotlatchDeltic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Corporation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(Nasdaq: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PCH)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is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leading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4"/>
                <w:sz w:val="11"/>
              </w:rPr>
              <w:t>Real</w:t>
            </w:r>
          </w:p>
          <w:p>
            <w:pPr>
              <w:pStyle w:val="TableParagraph"/>
              <w:spacing w:before="2"/>
              <w:ind w:left="424" w:right="80"/>
              <w:rPr>
                <w:sz w:val="11"/>
              </w:rPr>
            </w:pPr>
            <w:r>
              <w:rPr>
                <w:w w:val="90"/>
                <w:sz w:val="11"/>
              </w:rPr>
              <w:t>Estate Investment Trust</w:t>
            </w:r>
            <w:r>
              <w:rPr>
                <w:spacing w:val="-2"/>
                <w:w w:val="90"/>
                <w:sz w:val="11"/>
              </w:rPr>
              <w:t> </w:t>
            </w:r>
            <w:r>
              <w:rPr>
                <w:w w:val="90"/>
                <w:sz w:val="11"/>
              </w:rPr>
              <w:t>(REIT)</w:t>
            </w:r>
            <w:r>
              <w:rPr>
                <w:spacing w:val="-4"/>
                <w:w w:val="90"/>
                <w:sz w:val="11"/>
              </w:rPr>
              <w:t> </w:t>
            </w:r>
            <w:r>
              <w:rPr>
                <w:w w:val="90"/>
                <w:sz w:val="11"/>
              </w:rPr>
              <w:t>that owns nearly 2.2 million acres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of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timberlands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Alabama,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Arkansas,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Georgia,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Idaho,</w:t>
            </w:r>
          </w:p>
          <w:p>
            <w:pPr>
              <w:pStyle w:val="TableParagraph"/>
              <w:spacing w:line="133" w:lineRule="exact"/>
              <w:ind w:left="424"/>
              <w:rPr>
                <w:sz w:val="11"/>
              </w:rPr>
            </w:pPr>
            <w:r>
              <w:rPr>
                <w:w w:val="90"/>
                <w:sz w:val="11"/>
              </w:rPr>
              <w:t>Louisiana,</w:t>
            </w:r>
            <w:r>
              <w:rPr>
                <w:spacing w:val="6"/>
                <w:sz w:val="11"/>
              </w:rPr>
              <w:t> </w:t>
            </w:r>
            <w:r>
              <w:rPr>
                <w:w w:val="90"/>
                <w:sz w:val="11"/>
              </w:rPr>
              <w:t>Mississippi</w:t>
            </w:r>
            <w:r>
              <w:rPr>
                <w:spacing w:val="18"/>
                <w:sz w:val="11"/>
              </w:rPr>
              <w:t> </w:t>
            </w:r>
            <w:r>
              <w:rPr>
                <w:w w:val="90"/>
                <w:sz w:val="11"/>
              </w:rPr>
              <w:t>and</w:t>
            </w:r>
            <w:r>
              <w:rPr>
                <w:spacing w:val="12"/>
                <w:sz w:val="11"/>
              </w:rPr>
              <w:t> </w:t>
            </w:r>
            <w:r>
              <w:rPr>
                <w:w w:val="90"/>
                <w:sz w:val="11"/>
              </w:rPr>
              <w:t>South</w:t>
            </w:r>
            <w:r>
              <w:rPr>
                <w:spacing w:val="8"/>
                <w:sz w:val="11"/>
              </w:rPr>
              <w:t> </w:t>
            </w:r>
            <w:r>
              <w:rPr>
                <w:w w:val="90"/>
                <w:sz w:val="11"/>
              </w:rPr>
              <w:t>Carolina.</w:t>
            </w:r>
            <w:r>
              <w:rPr>
                <w:spacing w:val="1"/>
                <w:sz w:val="11"/>
              </w:rPr>
              <w:t> </w:t>
            </w:r>
            <w:r>
              <w:rPr>
                <w:w w:val="90"/>
                <w:sz w:val="11"/>
              </w:rPr>
              <w:t>Through</w:t>
            </w:r>
            <w:r>
              <w:rPr>
                <w:spacing w:val="9"/>
                <w:sz w:val="11"/>
              </w:rPr>
              <w:t> </w:t>
            </w:r>
            <w:r>
              <w:rPr>
                <w:w w:val="90"/>
                <w:sz w:val="11"/>
              </w:rPr>
              <w:t>its</w:t>
            </w:r>
            <w:r>
              <w:rPr>
                <w:spacing w:val="9"/>
                <w:sz w:val="11"/>
              </w:rPr>
              <w:t> </w:t>
            </w:r>
            <w:r>
              <w:rPr>
                <w:spacing w:val="-2"/>
                <w:w w:val="90"/>
                <w:sz w:val="11"/>
              </w:rPr>
              <w:t>taxable</w:t>
            </w:r>
          </w:p>
          <w:p>
            <w:pPr>
              <w:pStyle w:val="TableParagraph"/>
              <w:spacing w:before="34"/>
              <w:ind w:left="424" w:right="122" w:hanging="344"/>
              <w:jc w:val="both"/>
              <w:rPr>
                <w:sz w:val="11"/>
              </w:rPr>
            </w:pPr>
            <w:r>
              <w:rPr>
                <w:spacing w:val="-2"/>
                <w:sz w:val="11"/>
              </w:rPr>
              <w:t>24.3%</w:t>
            </w:r>
            <w:r>
              <w:rPr>
                <w:spacing w:val="10"/>
                <w:sz w:val="11"/>
              </w:rPr>
              <w:t> </w:t>
            </w:r>
            <w:r>
              <w:rPr>
                <w:spacing w:val="-2"/>
                <w:sz w:val="11"/>
              </w:rPr>
              <w:t>Rayonier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is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a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leading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timberland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real estate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investment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trust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with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assets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located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some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of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most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productive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softwood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timber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growing</w:t>
            </w:r>
            <w:r>
              <w:rPr>
                <w:spacing w:val="-13"/>
                <w:sz w:val="11"/>
              </w:rPr>
              <w:t> </w:t>
            </w:r>
            <w:r>
              <w:rPr>
                <w:spacing w:val="-2"/>
                <w:sz w:val="11"/>
              </w:rPr>
              <w:t>regions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in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the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2"/>
                <w:sz w:val="11"/>
              </w:rPr>
              <w:t>United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States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and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New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Zealand.</w:t>
            </w:r>
          </w:p>
          <w:p>
            <w:pPr>
              <w:pStyle w:val="TableParagraph"/>
              <w:ind w:left="424" w:right="5"/>
              <w:jc w:val="both"/>
              <w:rPr>
                <w:sz w:val="11"/>
              </w:rPr>
            </w:pPr>
            <w:r>
              <w:rPr>
                <w:spacing w:val="-2"/>
                <w:sz w:val="11"/>
              </w:rPr>
              <w:t>As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of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December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31,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2023,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Rayonier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owned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or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leased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under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long-</w:t>
            </w:r>
            <w:r>
              <w:rPr>
                <w:sz w:val="11"/>
              </w:rPr>
              <w:t>term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agreements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approximately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2.7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million</w:t>
            </w:r>
            <w:r>
              <w:rPr>
                <w:spacing w:val="-8"/>
                <w:sz w:val="11"/>
              </w:rPr>
              <w:t> </w:t>
            </w:r>
            <w:r>
              <w:rPr>
                <w:sz w:val="11"/>
              </w:rPr>
              <w:t>acres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of</w:t>
            </w:r>
          </w:p>
          <w:p>
            <w:pPr>
              <w:pStyle w:val="TableParagraph"/>
              <w:spacing w:line="94" w:lineRule="exact"/>
              <w:ind w:left="81"/>
              <w:jc w:val="both"/>
              <w:rPr>
                <w:sz w:val="11"/>
              </w:rPr>
            </w:pPr>
            <w:r>
              <w:rPr>
                <w:w w:val="90"/>
                <w:sz w:val="11"/>
              </w:rPr>
              <w:t>39.1%</w:t>
            </w:r>
            <w:r>
              <w:rPr>
                <w:spacing w:val="20"/>
                <w:sz w:val="11"/>
              </w:rPr>
              <w:t> </w:t>
            </w:r>
            <w:r>
              <w:rPr>
                <w:w w:val="90"/>
                <w:sz w:val="11"/>
              </w:rPr>
              <w:t>Interfor</w:t>
            </w:r>
            <w:r>
              <w:rPr>
                <w:spacing w:val="-3"/>
                <w:sz w:val="11"/>
              </w:rPr>
              <w:t> </w:t>
            </w:r>
            <w:r>
              <w:rPr>
                <w:w w:val="90"/>
                <w:sz w:val="11"/>
              </w:rPr>
              <w:t>Corporation,</w:t>
            </w:r>
            <w:r>
              <w:rPr>
                <w:spacing w:val="-2"/>
                <w:sz w:val="11"/>
              </w:rPr>
              <w:t> </w:t>
            </w:r>
            <w:r>
              <w:rPr>
                <w:w w:val="90"/>
                <w:sz w:val="11"/>
              </w:rPr>
              <w:t>together</w:t>
            </w:r>
            <w:r>
              <w:rPr>
                <w:spacing w:val="-1"/>
                <w:sz w:val="11"/>
              </w:rPr>
              <w:t> </w:t>
            </w:r>
            <w:r>
              <w:rPr>
                <w:w w:val="90"/>
                <w:sz w:val="11"/>
              </w:rPr>
              <w:t>with</w:t>
            </w:r>
            <w:r>
              <w:rPr>
                <w:spacing w:val="-1"/>
                <w:sz w:val="11"/>
              </w:rPr>
              <w:t> </w:t>
            </w:r>
            <w:r>
              <w:rPr>
                <w:w w:val="90"/>
                <w:sz w:val="11"/>
              </w:rPr>
              <w:t>its</w:t>
            </w:r>
            <w:r>
              <w:rPr>
                <w:spacing w:val="-1"/>
                <w:sz w:val="11"/>
              </w:rPr>
              <w:t> </w:t>
            </w:r>
            <w:r>
              <w:rPr>
                <w:w w:val="90"/>
                <w:sz w:val="11"/>
              </w:rPr>
              <w:t>subsidiaries,</w:t>
            </w:r>
            <w:r>
              <w:rPr>
                <w:spacing w:val="-1"/>
                <w:w w:val="90"/>
                <w:sz w:val="11"/>
              </w:rPr>
              <w:t> </w:t>
            </w:r>
            <w:r>
              <w:rPr>
                <w:spacing w:val="-2"/>
                <w:w w:val="90"/>
                <w:sz w:val="11"/>
              </w:rPr>
              <w:t>produces</w:t>
            </w:r>
          </w:p>
          <w:p>
            <w:pPr>
              <w:pStyle w:val="TableParagraph"/>
              <w:ind w:left="424"/>
              <w:rPr>
                <w:sz w:val="11"/>
              </w:rPr>
            </w:pPr>
            <w:r>
              <w:rPr>
                <w:sz w:val="11"/>
              </w:rPr>
              <w:t>and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sells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wood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products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Canada,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United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States,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Japan,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China,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Taiwan,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and internationally.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It offers decking,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fascia and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board,</w:t>
            </w:r>
            <w:r>
              <w:rPr>
                <w:spacing w:val="-11"/>
                <w:sz w:val="11"/>
              </w:rPr>
              <w:t> </w:t>
            </w:r>
            <w:r>
              <w:rPr>
                <w:sz w:val="11"/>
              </w:rPr>
              <w:t>v-joint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paneling,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fineline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paneling,</w:t>
            </w:r>
            <w:r>
              <w:rPr>
                <w:spacing w:val="-15"/>
                <w:sz w:val="11"/>
              </w:rPr>
              <w:t> </w:t>
            </w:r>
            <w:r>
              <w:rPr>
                <w:sz w:val="11"/>
              </w:rPr>
              <w:t>and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siding</w:t>
            </w:r>
            <w:r>
              <w:rPr>
                <w:spacing w:val="-12"/>
                <w:sz w:val="11"/>
              </w:rPr>
              <w:t> </w:t>
            </w:r>
            <w:r>
              <w:rPr>
                <w:sz w:val="11"/>
              </w:rPr>
              <w:t>products,</w:t>
            </w:r>
          </w:p>
          <w:p>
            <w:pPr>
              <w:pStyle w:val="TableParagraph"/>
              <w:spacing w:line="91" w:lineRule="auto" w:before="19"/>
              <w:ind w:left="423" w:right="294" w:hanging="344"/>
              <w:rPr>
                <w:sz w:val="11"/>
              </w:rPr>
            </w:pPr>
            <w:r>
              <w:rPr>
                <w:spacing w:val="-2"/>
                <w:position w:val="-7"/>
                <w:sz w:val="11"/>
              </w:rPr>
              <w:t>32.0%</w:t>
            </w:r>
            <w:r>
              <w:rPr>
                <w:spacing w:val="-8"/>
                <w:position w:val="-7"/>
                <w:sz w:val="11"/>
              </w:rPr>
              <w:t> </w:t>
            </w:r>
            <w:r>
              <w:rPr>
                <w:spacing w:val="-2"/>
                <w:sz w:val="11"/>
              </w:rPr>
              <w:t>as</w:t>
            </w:r>
            <w:r>
              <w:rPr>
                <w:spacing w:val="-13"/>
                <w:sz w:val="11"/>
              </w:rPr>
              <w:t> </w:t>
            </w:r>
            <w:r>
              <w:rPr>
                <w:spacing w:val="-2"/>
                <w:sz w:val="11"/>
              </w:rPr>
              <w:t>well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as</w:t>
            </w:r>
            <w:r>
              <w:rPr>
                <w:spacing w:val="-13"/>
                <w:sz w:val="11"/>
              </w:rPr>
              <w:t> </w:t>
            </w:r>
            <w:r>
              <w:rPr>
                <w:spacing w:val="-2"/>
                <w:sz w:val="11"/>
              </w:rPr>
              <w:t>structural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lumber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products.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2"/>
                <w:sz w:val="11"/>
              </w:rPr>
              <w:t>The</w:t>
            </w:r>
            <w:r>
              <w:rPr>
                <w:spacing w:val="-2"/>
                <w:position w:val="-7"/>
                <w:sz w:val="11"/>
              </w:rPr>
              <w:t>i</w:t>
            </w:r>
            <w:r>
              <w:rPr>
                <w:spacing w:val="-2"/>
                <w:sz w:val="11"/>
              </w:rPr>
              <w:t>company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also</w:t>
            </w:r>
            <w:r>
              <w:rPr>
                <w:spacing w:val="4"/>
                <w:sz w:val="11"/>
              </w:rPr>
              <w:t> </w:t>
            </w:r>
            <w:r>
              <w:rPr>
                <w:spacing w:val="-2"/>
                <w:position w:val="-7"/>
                <w:sz w:val="11"/>
              </w:rPr>
              <w:t>s,</w:t>
            </w:r>
            <w:r>
              <w:rPr>
                <w:spacing w:val="40"/>
                <w:position w:val="-7"/>
                <w:sz w:val="11"/>
              </w:rPr>
              <w:t> </w:t>
            </w:r>
            <w:r>
              <w:rPr>
                <w:spacing w:val="-2"/>
                <w:sz w:val="11"/>
              </w:rPr>
              <w:t>ENCE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Energía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y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Celulosa,</w:t>
            </w:r>
            <w:r>
              <w:rPr>
                <w:spacing w:val="-12"/>
                <w:sz w:val="11"/>
              </w:rPr>
              <w:t> </w:t>
            </w:r>
            <w:r>
              <w:rPr>
                <w:spacing w:val="-2"/>
                <w:sz w:val="11"/>
              </w:rPr>
              <w:t>S.A.,</w:t>
            </w:r>
            <w:r>
              <w:rPr>
                <w:spacing w:val="-10"/>
                <w:sz w:val="11"/>
              </w:rPr>
              <w:t> </w:t>
            </w:r>
            <w:r>
              <w:rPr>
                <w:spacing w:val="-2"/>
                <w:sz w:val="11"/>
              </w:rPr>
              <w:t>together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w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th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2"/>
                <w:sz w:val="11"/>
              </w:rPr>
              <w:t>its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subsidiarie</w:t>
            </w:r>
          </w:p>
          <w:p>
            <w:pPr>
              <w:pStyle w:val="TableParagraph"/>
              <w:spacing w:before="13"/>
              <w:ind w:left="424" w:right="72"/>
              <w:rPr>
                <w:sz w:val="11"/>
              </w:rPr>
            </w:pPr>
            <w:r>
              <w:rPr>
                <w:sz w:val="11"/>
              </w:rPr>
              <w:t>produces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and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sells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eucalyptus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hardwood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pulp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and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renewable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energy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12"/>
                <w:sz w:val="11"/>
              </w:rPr>
              <w:t> </w:t>
            </w:r>
            <w:r>
              <w:rPr>
                <w:sz w:val="11"/>
              </w:rPr>
              <w:t>Spain,</w:t>
            </w:r>
            <w:r>
              <w:rPr>
                <w:spacing w:val="-14"/>
                <w:sz w:val="11"/>
              </w:rPr>
              <w:t> </w:t>
            </w:r>
            <w:r>
              <w:rPr>
                <w:sz w:val="11"/>
              </w:rPr>
              <w:t>Germany,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Poland,</w:t>
            </w:r>
            <w:r>
              <w:rPr>
                <w:spacing w:val="-15"/>
                <w:sz w:val="11"/>
              </w:rPr>
              <w:t> </w:t>
            </w:r>
            <w:r>
              <w:rPr>
                <w:sz w:val="11"/>
              </w:rPr>
              <w:t>Italy,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Netherlands,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United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Kingdom,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Greece,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Turkey,</w:t>
            </w:r>
            <w:r>
              <w:rPr>
                <w:spacing w:val="-11"/>
                <w:sz w:val="11"/>
              </w:rPr>
              <w:t> </w:t>
            </w:r>
            <w:r>
              <w:rPr>
                <w:sz w:val="11"/>
              </w:rPr>
              <w:t>and</w:t>
            </w:r>
            <w:r>
              <w:rPr>
                <w:spacing w:val="-10"/>
                <w:sz w:val="11"/>
              </w:rPr>
              <w:t> </w:t>
            </w:r>
            <w:r>
              <w:rPr>
                <w:sz w:val="11"/>
              </w:rPr>
              <w:t>internationally.</w:t>
            </w:r>
            <w:r>
              <w:rPr>
                <w:spacing w:val="-13"/>
                <w:sz w:val="11"/>
              </w:rPr>
              <w:t> </w:t>
            </w:r>
            <w:r>
              <w:rPr>
                <w:sz w:val="11"/>
              </w:rPr>
              <w:t>It</w:t>
            </w:r>
            <w:r>
              <w:rPr>
                <w:spacing w:val="-12"/>
                <w:sz w:val="11"/>
              </w:rPr>
              <w:t> </w:t>
            </w:r>
            <w:r>
              <w:rPr>
                <w:sz w:val="11"/>
              </w:rPr>
              <w:t>offers</w:t>
            </w:r>
          </w:p>
          <w:p>
            <w:pPr>
              <w:pStyle w:val="TableParagraph"/>
              <w:spacing w:line="91" w:lineRule="auto" w:before="19"/>
              <w:ind w:left="423" w:hanging="344"/>
              <w:rPr>
                <w:sz w:val="11"/>
              </w:rPr>
            </w:pPr>
            <w:r>
              <w:rPr>
                <w:spacing w:val="-2"/>
                <w:position w:val="-7"/>
                <w:sz w:val="11"/>
              </w:rPr>
              <w:t>28.7%</w:t>
            </w:r>
            <w:r>
              <w:rPr>
                <w:spacing w:val="14"/>
                <w:position w:val="-7"/>
                <w:sz w:val="11"/>
              </w:rPr>
              <w:t> </w:t>
            </w:r>
            <w:r>
              <w:rPr>
                <w:spacing w:val="-2"/>
                <w:sz w:val="11"/>
              </w:rPr>
              <w:t>bleached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eucalyptus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kraft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pulp;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and forest land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2"/>
                <w:sz w:val="11"/>
              </w:rPr>
              <w:t>management</w:t>
            </w:r>
            <w:r>
              <w:rPr>
                <w:spacing w:val="40"/>
                <w:sz w:val="11"/>
              </w:rPr>
              <w:t> </w:t>
            </w:r>
            <w:r>
              <w:rPr>
                <w:w w:val="90"/>
                <w:sz w:val="11"/>
              </w:rPr>
              <w:t>Klabin</w:t>
            </w:r>
            <w:r>
              <w:rPr>
                <w:spacing w:val="6"/>
                <w:sz w:val="11"/>
              </w:rPr>
              <w:t> </w:t>
            </w:r>
            <w:r>
              <w:rPr>
                <w:w w:val="90"/>
                <w:sz w:val="11"/>
              </w:rPr>
              <w:t>S.A.,</w:t>
            </w:r>
            <w:r>
              <w:rPr>
                <w:spacing w:val="7"/>
                <w:sz w:val="11"/>
              </w:rPr>
              <w:t> </w:t>
            </w:r>
            <w:r>
              <w:rPr>
                <w:w w:val="90"/>
                <w:sz w:val="11"/>
              </w:rPr>
              <w:t>together</w:t>
            </w:r>
            <w:r>
              <w:rPr>
                <w:spacing w:val="9"/>
                <w:sz w:val="11"/>
              </w:rPr>
              <w:t> </w:t>
            </w:r>
            <w:r>
              <w:rPr>
                <w:w w:val="90"/>
                <w:sz w:val="11"/>
              </w:rPr>
              <w:t>with</w:t>
            </w:r>
            <w:r>
              <w:rPr>
                <w:spacing w:val="8"/>
                <w:sz w:val="11"/>
              </w:rPr>
              <w:t> </w:t>
            </w:r>
            <w:r>
              <w:rPr>
                <w:w w:val="90"/>
                <w:sz w:val="11"/>
              </w:rPr>
              <w:t>its</w:t>
            </w:r>
            <w:r>
              <w:rPr>
                <w:spacing w:val="10"/>
                <w:sz w:val="11"/>
              </w:rPr>
              <w:t> </w:t>
            </w:r>
            <w:r>
              <w:rPr>
                <w:w w:val="90"/>
                <w:sz w:val="11"/>
              </w:rPr>
              <w:t>subsidiaries,</w:t>
            </w:r>
            <w:r>
              <w:rPr>
                <w:spacing w:val="7"/>
                <w:sz w:val="11"/>
              </w:rPr>
              <w:t> </w:t>
            </w:r>
            <w:r>
              <w:rPr>
                <w:w w:val="90"/>
                <w:sz w:val="11"/>
              </w:rPr>
              <w:t>produces</w:t>
            </w:r>
            <w:r>
              <w:rPr>
                <w:spacing w:val="10"/>
                <w:sz w:val="11"/>
              </w:rPr>
              <w:t> </w:t>
            </w:r>
            <w:r>
              <w:rPr>
                <w:w w:val="90"/>
                <w:sz w:val="11"/>
              </w:rPr>
              <w:t>and</w:t>
            </w:r>
            <w:r>
              <w:rPr>
                <w:spacing w:val="7"/>
                <w:sz w:val="11"/>
              </w:rPr>
              <w:t> </w:t>
            </w:r>
            <w:r>
              <w:rPr>
                <w:spacing w:val="-2"/>
                <w:w w:val="90"/>
                <w:sz w:val="11"/>
              </w:rPr>
              <w:t>exports</w:t>
            </w:r>
          </w:p>
          <w:p>
            <w:pPr>
              <w:pStyle w:val="TableParagraph"/>
              <w:spacing w:before="15"/>
              <w:ind w:left="424" w:right="126"/>
              <w:jc w:val="both"/>
              <w:rPr>
                <w:sz w:val="11"/>
              </w:rPr>
            </w:pPr>
            <w:r>
              <w:rPr>
                <w:sz w:val="11"/>
              </w:rPr>
              <w:t>packaging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paper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and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sustainable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paper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packaging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solutions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Brazil and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internationally.</w:t>
            </w:r>
            <w:r>
              <w:rPr>
                <w:spacing w:val="-9"/>
                <w:sz w:val="11"/>
              </w:rPr>
              <w:t> </w:t>
            </w:r>
            <w:r>
              <w:rPr>
                <w:sz w:val="11"/>
              </w:rPr>
              <w:t>The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company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engages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in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the</w:t>
            </w:r>
          </w:p>
          <w:p>
            <w:pPr>
              <w:pStyle w:val="TableParagraph"/>
              <w:spacing w:line="247" w:lineRule="auto"/>
              <w:ind w:left="118" w:right="247" w:firstLine="305"/>
              <w:jc w:val="both"/>
              <w:rPr>
                <w:rFonts w:ascii="Tahoma"/>
                <w:b/>
                <w:sz w:val="9"/>
              </w:rPr>
            </w:pPr>
            <w:r>
              <w:rPr>
                <w:spacing w:val="-2"/>
                <w:sz w:val="11"/>
              </w:rPr>
              <w:t>planting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of pine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and eucalyptus;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and forestry management</w:t>
            </w:r>
            <w:r>
              <w:rPr>
                <w:spacing w:val="40"/>
                <w:sz w:val="11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position w:val="-6"/>
                <w:sz w:val="9"/>
              </w:rPr>
              <w:t>24.3%</w:t>
            </w:r>
            <w:r>
              <w:rPr>
                <w:rFonts w:ascii="Tahoma"/>
                <w:b/>
                <w:color w:val="FFFFFF"/>
                <w:spacing w:val="-5"/>
                <w:position w:val="-6"/>
                <w:sz w:val="9"/>
              </w:rPr>
              <w:t> </w:t>
            </w:r>
            <w:r>
              <w:rPr>
                <w:spacing w:val="-2"/>
                <w:sz w:val="11"/>
              </w:rPr>
              <w:t>business.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It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also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produces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and</w:t>
            </w:r>
            <w:r>
              <w:rPr>
                <w:spacing w:val="-7"/>
                <w:sz w:val="11"/>
              </w:rPr>
              <w:t> </w:t>
            </w:r>
            <w:r>
              <w:rPr>
                <w:spacing w:val="-2"/>
                <w:sz w:val="11"/>
              </w:rPr>
              <w:t>sells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hardwood</w:t>
            </w:r>
            <w:r>
              <w:rPr>
                <w:spacing w:val="-8"/>
                <w:sz w:val="11"/>
              </w:rPr>
              <w:t> </w:t>
            </w:r>
            <w:r>
              <w:rPr>
                <w:spacing w:val="-2"/>
                <w:sz w:val="11"/>
              </w:rPr>
              <w:t>(eucalyptus),</w:t>
            </w:r>
            <w:r>
              <w:rPr>
                <w:spacing w:val="40"/>
                <w:sz w:val="11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9"/>
              </w:rPr>
              <w:t>51.0%</w:t>
            </w:r>
          </w:p>
          <w:p>
            <w:pPr>
              <w:pStyle w:val="TableParagraph"/>
              <w:spacing w:before="6"/>
              <w:ind w:left="118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32.7%</w:t>
            </w:r>
          </w:p>
          <w:p>
            <w:pPr>
              <w:pStyle w:val="TableParagraph"/>
              <w:spacing w:before="11"/>
              <w:ind w:left="119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30.8%</w:t>
            </w:r>
          </w:p>
        </w:tc>
      </w:tr>
      <w:tr>
        <w:trPr>
          <w:trHeight w:val="605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23" w:right="166"/>
              <w:rPr>
                <w:sz w:val="11"/>
              </w:rPr>
            </w:pPr>
            <w:r>
              <w:rPr>
                <w:spacing w:val="-2"/>
                <w:sz w:val="11"/>
              </w:rPr>
              <w:t>Weyerhaeuser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Company</w:t>
            </w:r>
          </w:p>
        </w:tc>
        <w:tc>
          <w:tcPr>
            <w:tcW w:w="539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5"/>
                <w:sz w:val="11"/>
              </w:rPr>
              <w:t>USA</w:t>
            </w:r>
          </w:p>
        </w:tc>
        <w:tc>
          <w:tcPr>
            <w:tcW w:w="826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31-Dec-</w:t>
            </w:r>
            <w:r>
              <w:rPr>
                <w:spacing w:val="-4"/>
                <w:w w:val="90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2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5,606.6</w:t>
            </w:r>
          </w:p>
        </w:tc>
        <w:tc>
          <w:tcPr>
            <w:tcW w:w="525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937.7</w:t>
            </w:r>
          </w:p>
        </w:tc>
        <w:tc>
          <w:tcPr>
            <w:tcW w:w="485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32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20,243.3</w:t>
            </w:r>
          </w:p>
        </w:tc>
        <w:tc>
          <w:tcPr>
            <w:tcW w:w="423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31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3,634.4</w:t>
            </w:r>
          </w:p>
        </w:tc>
        <w:tc>
          <w:tcPr>
            <w:tcW w:w="593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65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16,739.6</w:t>
            </w:r>
          </w:p>
        </w:tc>
        <w:tc>
          <w:tcPr>
            <w:tcW w:w="564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159"/>
              <w:jc w:val="center"/>
              <w:rPr>
                <w:sz w:val="11"/>
              </w:rPr>
            </w:pPr>
            <w:r>
              <w:rPr>
                <w:spacing w:val="-5"/>
                <w:w w:val="90"/>
                <w:sz w:val="11"/>
              </w:rPr>
              <w:t>22%</w:t>
            </w:r>
          </w:p>
        </w:tc>
        <w:tc>
          <w:tcPr>
            <w:tcW w:w="787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47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3.69x</w:t>
            </w:r>
          </w:p>
        </w:tc>
        <w:tc>
          <w:tcPr>
            <w:tcW w:w="679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22.00x</w:t>
            </w:r>
          </w:p>
        </w:tc>
        <w:tc>
          <w:tcPr>
            <w:tcW w:w="637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5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16.34x</w:t>
            </w:r>
          </w:p>
        </w:tc>
        <w:tc>
          <w:tcPr>
            <w:tcW w:w="578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4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13.92x</w:t>
            </w:r>
          </w:p>
        </w:tc>
        <w:tc>
          <w:tcPr>
            <w:tcW w:w="398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56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0.88</w:t>
            </w:r>
          </w:p>
        </w:tc>
        <w:tc>
          <w:tcPr>
            <w:tcW w:w="451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39" w:right="2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19.0%</w:t>
            </w:r>
          </w:p>
        </w:tc>
        <w:tc>
          <w:tcPr>
            <w:tcW w:w="502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21.2%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05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PotlatchDeltic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Corporation</w:t>
            </w:r>
          </w:p>
        </w:tc>
        <w:tc>
          <w:tcPr>
            <w:tcW w:w="539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left="76"/>
              <w:rPr>
                <w:sz w:val="11"/>
              </w:rPr>
            </w:pPr>
            <w:r>
              <w:rPr>
                <w:spacing w:val="-5"/>
                <w:sz w:val="11"/>
              </w:rPr>
              <w:t>USA</w:t>
            </w:r>
          </w:p>
        </w:tc>
        <w:tc>
          <w:tcPr>
            <w:tcW w:w="826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9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31-Dec-</w:t>
            </w:r>
            <w:r>
              <w:rPr>
                <w:spacing w:val="-4"/>
                <w:w w:val="90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2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831.3</w:t>
            </w:r>
          </w:p>
        </w:tc>
        <w:tc>
          <w:tcPr>
            <w:tcW w:w="525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28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116.3</w:t>
            </w:r>
          </w:p>
        </w:tc>
        <w:tc>
          <w:tcPr>
            <w:tcW w:w="485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30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3,471.7</w:t>
            </w:r>
          </w:p>
        </w:tc>
        <w:tc>
          <w:tcPr>
            <w:tcW w:w="423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3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723.2</w:t>
            </w:r>
          </w:p>
        </w:tc>
        <w:tc>
          <w:tcPr>
            <w:tcW w:w="593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65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2,774.5</w:t>
            </w:r>
          </w:p>
        </w:tc>
        <w:tc>
          <w:tcPr>
            <w:tcW w:w="564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left="159"/>
              <w:jc w:val="center"/>
              <w:rPr>
                <w:sz w:val="11"/>
              </w:rPr>
            </w:pPr>
            <w:r>
              <w:rPr>
                <w:spacing w:val="-5"/>
                <w:w w:val="90"/>
                <w:sz w:val="11"/>
              </w:rPr>
              <w:t>26%</w:t>
            </w:r>
          </w:p>
        </w:tc>
        <w:tc>
          <w:tcPr>
            <w:tcW w:w="787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47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4.24x</w:t>
            </w:r>
          </w:p>
        </w:tc>
        <w:tc>
          <w:tcPr>
            <w:tcW w:w="679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30.26x</w:t>
            </w:r>
          </w:p>
        </w:tc>
        <w:tc>
          <w:tcPr>
            <w:tcW w:w="637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5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17.79x</w:t>
            </w:r>
          </w:p>
        </w:tc>
        <w:tc>
          <w:tcPr>
            <w:tcW w:w="578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4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15.01x</w:t>
            </w:r>
          </w:p>
        </w:tc>
        <w:tc>
          <w:tcPr>
            <w:tcW w:w="398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left="56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0.80</w:t>
            </w:r>
          </w:p>
        </w:tc>
        <w:tc>
          <w:tcPr>
            <w:tcW w:w="451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left="39" w:right="2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21.0%</w:t>
            </w:r>
          </w:p>
        </w:tc>
        <w:tc>
          <w:tcPr>
            <w:tcW w:w="502" w:type="dxa"/>
          </w:tcPr>
          <w:p>
            <w:pPr>
              <w:pStyle w:val="TableParagraph"/>
              <w:spacing w:before="57"/>
              <w:rPr>
                <w:sz w:val="11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21.8%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1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Rayonier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4"/>
                <w:sz w:val="11"/>
              </w:rPr>
              <w:t>Inc.</w:t>
            </w:r>
          </w:p>
        </w:tc>
        <w:tc>
          <w:tcPr>
            <w:tcW w:w="539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5"/>
                <w:sz w:val="11"/>
              </w:rPr>
              <w:t>USA</w:t>
            </w:r>
          </w:p>
        </w:tc>
        <w:tc>
          <w:tcPr>
            <w:tcW w:w="826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31-Dec-</w:t>
            </w:r>
            <w:r>
              <w:rPr>
                <w:spacing w:val="-4"/>
                <w:w w:val="90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2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763.8</w:t>
            </w:r>
          </w:p>
        </w:tc>
        <w:tc>
          <w:tcPr>
            <w:tcW w:w="525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433.0</w:t>
            </w:r>
          </w:p>
        </w:tc>
        <w:tc>
          <w:tcPr>
            <w:tcW w:w="485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30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4,065.4</w:t>
            </w:r>
          </w:p>
        </w:tc>
        <w:tc>
          <w:tcPr>
            <w:tcW w:w="423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3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694.2</w:t>
            </w:r>
          </w:p>
        </w:tc>
        <w:tc>
          <w:tcPr>
            <w:tcW w:w="593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65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3,347.7</w:t>
            </w:r>
          </w:p>
        </w:tc>
        <w:tc>
          <w:tcPr>
            <w:tcW w:w="564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159"/>
              <w:jc w:val="center"/>
              <w:rPr>
                <w:sz w:val="11"/>
              </w:rPr>
            </w:pPr>
            <w:r>
              <w:rPr>
                <w:spacing w:val="-5"/>
                <w:w w:val="90"/>
                <w:sz w:val="11"/>
              </w:rPr>
              <w:t>21%</w:t>
            </w:r>
          </w:p>
        </w:tc>
        <w:tc>
          <w:tcPr>
            <w:tcW w:w="787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47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4.18x</w:t>
            </w:r>
          </w:p>
        </w:tc>
        <w:tc>
          <w:tcPr>
            <w:tcW w:w="679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9.65x</w:t>
            </w:r>
          </w:p>
        </w:tc>
        <w:tc>
          <w:tcPr>
            <w:tcW w:w="637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5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18.77x</w:t>
            </w:r>
          </w:p>
        </w:tc>
        <w:tc>
          <w:tcPr>
            <w:tcW w:w="578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4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17.85x</w:t>
            </w:r>
          </w:p>
        </w:tc>
        <w:tc>
          <w:tcPr>
            <w:tcW w:w="398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56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0.80</w:t>
            </w:r>
          </w:p>
        </w:tc>
        <w:tc>
          <w:tcPr>
            <w:tcW w:w="451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left="39" w:right="2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17.2%</w:t>
            </w:r>
          </w:p>
        </w:tc>
        <w:tc>
          <w:tcPr>
            <w:tcW w:w="502" w:type="dxa"/>
          </w:tcPr>
          <w:p>
            <w:pPr>
              <w:pStyle w:val="TableParagraph"/>
              <w:spacing w:before="11"/>
              <w:rPr>
                <w:sz w:val="11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21.2%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80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left="23"/>
              <w:rPr>
                <w:sz w:val="11"/>
              </w:rPr>
            </w:pPr>
            <w:r>
              <w:rPr>
                <w:spacing w:val="-2"/>
                <w:sz w:val="11"/>
              </w:rPr>
              <w:t>Interfor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Corporation</w:t>
            </w:r>
          </w:p>
        </w:tc>
        <w:tc>
          <w:tcPr>
            <w:tcW w:w="539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2"/>
                <w:w w:val="110"/>
                <w:sz w:val="11"/>
              </w:rPr>
              <w:t>Canada</w:t>
            </w:r>
          </w:p>
        </w:tc>
        <w:tc>
          <w:tcPr>
            <w:tcW w:w="826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31-Dec-</w:t>
            </w:r>
            <w:r>
              <w:rPr>
                <w:spacing w:val="-4"/>
                <w:w w:val="90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1,727.8</w:t>
            </w:r>
          </w:p>
        </w:tc>
        <w:tc>
          <w:tcPr>
            <w:tcW w:w="525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17.3</w:t>
            </w:r>
          </w:p>
        </w:tc>
        <w:tc>
          <w:tcPr>
            <w:tcW w:w="485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33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896.7</w:t>
            </w:r>
          </w:p>
        </w:tc>
        <w:tc>
          <w:tcPr>
            <w:tcW w:w="423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33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503.7</w:t>
            </w:r>
          </w:p>
        </w:tc>
        <w:tc>
          <w:tcPr>
            <w:tcW w:w="593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65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407.7</w:t>
            </w:r>
          </w:p>
        </w:tc>
        <w:tc>
          <w:tcPr>
            <w:tcW w:w="564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left="159" w:right="62"/>
              <w:jc w:val="center"/>
              <w:rPr>
                <w:sz w:val="11"/>
              </w:rPr>
            </w:pPr>
            <w:r>
              <w:rPr>
                <w:spacing w:val="-4"/>
                <w:w w:val="90"/>
                <w:sz w:val="11"/>
              </w:rPr>
              <w:t>124%</w:t>
            </w:r>
          </w:p>
        </w:tc>
        <w:tc>
          <w:tcPr>
            <w:tcW w:w="787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46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0.55x</w:t>
            </w:r>
          </w:p>
        </w:tc>
        <w:tc>
          <w:tcPr>
            <w:tcW w:w="679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31.81x</w:t>
            </w:r>
          </w:p>
        </w:tc>
        <w:tc>
          <w:tcPr>
            <w:tcW w:w="637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52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6.11x</w:t>
            </w:r>
          </w:p>
        </w:tc>
        <w:tc>
          <w:tcPr>
            <w:tcW w:w="578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4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4.64x</w:t>
            </w:r>
          </w:p>
        </w:tc>
        <w:tc>
          <w:tcPr>
            <w:tcW w:w="398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left="56" w:right="1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1.41</w:t>
            </w:r>
          </w:p>
        </w:tc>
        <w:tc>
          <w:tcPr>
            <w:tcW w:w="451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left="39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31.2%</w:t>
            </w:r>
          </w:p>
        </w:tc>
        <w:tc>
          <w:tcPr>
            <w:tcW w:w="502" w:type="dxa"/>
          </w:tcPr>
          <w:p>
            <w:pPr>
              <w:pStyle w:val="TableParagraph"/>
              <w:spacing w:before="108"/>
              <w:rPr>
                <w:sz w:val="11"/>
              </w:rPr>
            </w:pPr>
          </w:p>
          <w:p>
            <w:pPr>
              <w:pStyle w:val="TableParagraph"/>
              <w:ind w:right="55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35.0%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04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23"/>
              <w:rPr>
                <w:sz w:val="11"/>
              </w:rPr>
            </w:pPr>
            <w:r>
              <w:rPr>
                <w:spacing w:val="-4"/>
                <w:sz w:val="11"/>
              </w:rPr>
              <w:t>ENCE</w:t>
            </w:r>
            <w:r>
              <w:rPr>
                <w:spacing w:val="-11"/>
                <w:sz w:val="11"/>
              </w:rPr>
              <w:t> </w:t>
            </w:r>
            <w:r>
              <w:rPr>
                <w:spacing w:val="-4"/>
                <w:sz w:val="11"/>
              </w:rPr>
              <w:t>Energía</w:t>
            </w:r>
            <w:r>
              <w:rPr>
                <w:spacing w:val="-9"/>
                <w:sz w:val="11"/>
              </w:rPr>
              <w:t> </w:t>
            </w:r>
            <w:r>
              <w:rPr>
                <w:spacing w:val="-4"/>
                <w:sz w:val="11"/>
              </w:rPr>
              <w:t>y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Celulosa,</w:t>
            </w:r>
            <w:r>
              <w:rPr>
                <w:spacing w:val="-15"/>
                <w:sz w:val="11"/>
              </w:rPr>
              <w:t> </w:t>
            </w:r>
            <w:r>
              <w:rPr>
                <w:sz w:val="11"/>
              </w:rPr>
              <w:t>S.A.</w:t>
            </w:r>
          </w:p>
        </w:tc>
        <w:tc>
          <w:tcPr>
            <w:tcW w:w="539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2"/>
                <w:sz w:val="11"/>
              </w:rPr>
              <w:t>Spain</w:t>
            </w:r>
          </w:p>
        </w:tc>
        <w:tc>
          <w:tcPr>
            <w:tcW w:w="826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31-Dec-</w:t>
            </w:r>
            <w:r>
              <w:rPr>
                <w:spacing w:val="-4"/>
                <w:w w:val="90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2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749.4</w:t>
            </w:r>
          </w:p>
        </w:tc>
        <w:tc>
          <w:tcPr>
            <w:tcW w:w="525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121.3</w:t>
            </w:r>
          </w:p>
        </w:tc>
        <w:tc>
          <w:tcPr>
            <w:tcW w:w="485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30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1,071.9</w:t>
            </w:r>
          </w:p>
        </w:tc>
        <w:tc>
          <w:tcPr>
            <w:tcW w:w="423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3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314.2</w:t>
            </w:r>
          </w:p>
        </w:tc>
        <w:tc>
          <w:tcPr>
            <w:tcW w:w="593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65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670.9</w:t>
            </w:r>
          </w:p>
        </w:tc>
        <w:tc>
          <w:tcPr>
            <w:tcW w:w="564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159"/>
              <w:jc w:val="center"/>
              <w:rPr>
                <w:sz w:val="11"/>
              </w:rPr>
            </w:pPr>
            <w:r>
              <w:rPr>
                <w:spacing w:val="-5"/>
                <w:w w:val="90"/>
                <w:sz w:val="11"/>
              </w:rPr>
              <w:t>47%</w:t>
            </w:r>
          </w:p>
        </w:tc>
        <w:tc>
          <w:tcPr>
            <w:tcW w:w="787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47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1.44x</w:t>
            </w:r>
          </w:p>
        </w:tc>
        <w:tc>
          <w:tcPr>
            <w:tcW w:w="679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8.66x</w:t>
            </w:r>
          </w:p>
        </w:tc>
        <w:tc>
          <w:tcPr>
            <w:tcW w:w="637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5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7.34x</w:t>
            </w:r>
          </w:p>
        </w:tc>
        <w:tc>
          <w:tcPr>
            <w:tcW w:w="578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4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6.17x</w:t>
            </w:r>
          </w:p>
        </w:tc>
        <w:tc>
          <w:tcPr>
            <w:tcW w:w="398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56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0.85</w:t>
            </w:r>
          </w:p>
        </w:tc>
        <w:tc>
          <w:tcPr>
            <w:tcW w:w="451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39" w:right="2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20.1%</w:t>
            </w:r>
          </w:p>
        </w:tc>
        <w:tc>
          <w:tcPr>
            <w:tcW w:w="502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27.2%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9" w:hRule="atLeast"/>
        </w:trPr>
        <w:tc>
          <w:tcPr>
            <w:tcW w:w="980" w:type="dxa"/>
            <w:tcBorders>
              <w:left w:val="single" w:sz="2" w:space="0" w:color="000000"/>
            </w:tcBorders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23"/>
              <w:rPr>
                <w:sz w:val="11"/>
              </w:rPr>
            </w:pPr>
            <w:r>
              <w:rPr>
                <w:spacing w:val="2"/>
                <w:w w:val="90"/>
                <w:sz w:val="11"/>
              </w:rPr>
              <w:t>Klabin</w:t>
            </w:r>
            <w:r>
              <w:rPr>
                <w:spacing w:val="8"/>
                <w:sz w:val="11"/>
              </w:rPr>
              <w:t> </w:t>
            </w:r>
            <w:r>
              <w:rPr>
                <w:spacing w:val="-4"/>
                <w:sz w:val="11"/>
              </w:rPr>
              <w:t>S.A.</w:t>
            </w:r>
          </w:p>
        </w:tc>
        <w:tc>
          <w:tcPr>
            <w:tcW w:w="539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76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Brazil</w:t>
            </w:r>
          </w:p>
        </w:tc>
        <w:tc>
          <w:tcPr>
            <w:tcW w:w="826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9"/>
              <w:jc w:val="right"/>
              <w:rPr>
                <w:sz w:val="11"/>
              </w:rPr>
            </w:pPr>
            <w:r>
              <w:rPr>
                <w:w w:val="90"/>
                <w:sz w:val="11"/>
              </w:rPr>
              <w:t>31-Dec-</w:t>
            </w:r>
            <w:r>
              <w:rPr>
                <w:spacing w:val="-4"/>
                <w:w w:val="90"/>
                <w:sz w:val="11"/>
              </w:rPr>
              <w:t>2024</w:t>
            </w:r>
          </w:p>
        </w:tc>
        <w:tc>
          <w:tcPr>
            <w:tcW w:w="766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2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2,866.0</w:t>
            </w:r>
          </w:p>
        </w:tc>
        <w:tc>
          <w:tcPr>
            <w:tcW w:w="525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28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1,074.7</w:t>
            </w:r>
          </w:p>
        </w:tc>
        <w:tc>
          <w:tcPr>
            <w:tcW w:w="485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30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8,176.8</w:t>
            </w:r>
          </w:p>
        </w:tc>
        <w:tc>
          <w:tcPr>
            <w:tcW w:w="423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31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4,354.8</w:t>
            </w:r>
          </w:p>
        </w:tc>
        <w:tc>
          <w:tcPr>
            <w:tcW w:w="593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65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3,297.9</w:t>
            </w:r>
          </w:p>
        </w:tc>
        <w:tc>
          <w:tcPr>
            <w:tcW w:w="564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98"/>
              <w:jc w:val="center"/>
              <w:rPr>
                <w:sz w:val="11"/>
              </w:rPr>
            </w:pPr>
            <w:r>
              <w:rPr>
                <w:spacing w:val="-4"/>
                <w:w w:val="90"/>
                <w:sz w:val="11"/>
              </w:rPr>
              <w:t>132%</w:t>
            </w:r>
          </w:p>
        </w:tc>
        <w:tc>
          <w:tcPr>
            <w:tcW w:w="787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47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3.07x</w:t>
            </w:r>
          </w:p>
        </w:tc>
        <w:tc>
          <w:tcPr>
            <w:tcW w:w="679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10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8.17x</w:t>
            </w:r>
          </w:p>
        </w:tc>
        <w:tc>
          <w:tcPr>
            <w:tcW w:w="637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51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7.15x</w:t>
            </w:r>
          </w:p>
        </w:tc>
        <w:tc>
          <w:tcPr>
            <w:tcW w:w="578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49"/>
              <w:jc w:val="right"/>
              <w:rPr>
                <w:sz w:val="11"/>
              </w:rPr>
            </w:pPr>
            <w:r>
              <w:rPr>
                <w:spacing w:val="-2"/>
                <w:w w:val="95"/>
                <w:sz w:val="11"/>
              </w:rPr>
              <w:t>6.58x</w:t>
            </w:r>
          </w:p>
        </w:tc>
        <w:tc>
          <w:tcPr>
            <w:tcW w:w="398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56"/>
              <w:jc w:val="center"/>
              <w:rPr>
                <w:sz w:val="11"/>
              </w:rPr>
            </w:pPr>
            <w:r>
              <w:rPr>
                <w:spacing w:val="-4"/>
                <w:w w:val="95"/>
                <w:sz w:val="11"/>
              </w:rPr>
              <w:t>0.47</w:t>
            </w:r>
          </w:p>
        </w:tc>
        <w:tc>
          <w:tcPr>
            <w:tcW w:w="451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left="39" w:right="2"/>
              <w:jc w:val="center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19.0%</w:t>
            </w:r>
          </w:p>
        </w:tc>
        <w:tc>
          <w:tcPr>
            <w:tcW w:w="502" w:type="dxa"/>
          </w:tcPr>
          <w:p>
            <w:pPr>
              <w:pStyle w:val="TableParagraph"/>
              <w:spacing w:before="35"/>
              <w:rPr>
                <w:sz w:val="11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spacing w:val="-2"/>
                <w:w w:val="90"/>
                <w:sz w:val="11"/>
              </w:rPr>
              <w:t>21.2%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3" w:hRule="atLeast"/>
        </w:trPr>
        <w:tc>
          <w:tcPr>
            <w:tcW w:w="98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3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2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8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spacing w:line="264" w:lineRule="auto"/>
              <w:ind w:right="54"/>
              <w:jc w:val="center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sz w:val="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46080">
                      <wp:simplePos x="0" y="0"/>
                      <wp:positionH relativeFrom="column">
                        <wp:posOffset>-7063</wp:posOffset>
                      </wp:positionH>
                      <wp:positionV relativeFrom="paragraph">
                        <wp:posOffset>-8271</wp:posOffset>
                      </wp:positionV>
                      <wp:extent cx="3560445" cy="30480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3560445" cy="304800"/>
                                <a:chExt cx="3560445" cy="3048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3560445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60445" h="304800">
                                      <a:moveTo>
                                        <a:pt x="3560064" y="304800"/>
                                      </a:moveTo>
                                      <a:lnTo>
                                        <a:pt x="0" y="3048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560064" y="0"/>
                                      </a:lnTo>
                                      <a:lnTo>
                                        <a:pt x="3560064" y="3048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F059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562pt;margin-top:-.651276pt;width:280.350pt;height:24pt;mso-position-horizontal-relative:column;mso-position-vertical-relative:paragraph;z-index:-16870400" id="docshapegroup12" coordorigin="-11,-13" coordsize="5607,480">
                      <v:rect style="position:absolute;left:-12;top:-14;width:5607;height:480" id="docshape13" filled="true" fillcolor="#0f059e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Tahoma"/>
                <w:b/>
                <w:color w:val="FFFFFF"/>
                <w:spacing w:val="-2"/>
                <w:sz w:val="9"/>
              </w:rPr>
              <w:t>MINIMUM</w:t>
            </w:r>
            <w:r>
              <w:rPr>
                <w:rFonts w:ascii="Tahoma"/>
                <w:b/>
                <w:color w:val="FFFFFF"/>
                <w:spacing w:val="40"/>
                <w:sz w:val="9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9"/>
              </w:rPr>
              <w:t>MAXIMUM</w:t>
            </w:r>
            <w:r>
              <w:rPr>
                <w:rFonts w:ascii="Tahoma"/>
                <w:b/>
                <w:color w:val="FFFFFF"/>
                <w:spacing w:val="40"/>
                <w:sz w:val="9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9"/>
              </w:rPr>
              <w:t>AVERAGE</w:t>
            </w:r>
            <w:r>
              <w:rPr>
                <w:rFonts w:ascii="Tahoma"/>
                <w:b/>
                <w:color w:val="FFFFFF"/>
                <w:spacing w:val="40"/>
                <w:sz w:val="9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9"/>
              </w:rPr>
              <w:t>MEDIAN</w:t>
            </w:r>
          </w:p>
        </w:tc>
        <w:tc>
          <w:tcPr>
            <w:tcW w:w="56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284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5"/>
                <w:w w:val="95"/>
                <w:sz w:val="9"/>
              </w:rPr>
              <w:t>21%</w:t>
            </w:r>
          </w:p>
          <w:p>
            <w:pPr>
              <w:pStyle w:val="TableParagraph"/>
              <w:spacing w:before="9"/>
              <w:ind w:left="234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4"/>
                <w:sz w:val="9"/>
              </w:rPr>
              <w:t>132%</w:t>
            </w:r>
          </w:p>
          <w:p>
            <w:pPr>
              <w:pStyle w:val="TableParagraph"/>
              <w:spacing w:before="11"/>
              <w:ind w:left="284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5"/>
                <w:w w:val="95"/>
                <w:sz w:val="9"/>
              </w:rPr>
              <w:t>59%</w:t>
            </w:r>
          </w:p>
          <w:p>
            <w:pPr>
              <w:pStyle w:val="TableParagraph"/>
              <w:spacing w:before="12"/>
              <w:ind w:left="284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5"/>
                <w:w w:val="95"/>
                <w:sz w:val="9"/>
              </w:rPr>
              <w:t>42%</w:t>
            </w:r>
          </w:p>
        </w:tc>
        <w:tc>
          <w:tcPr>
            <w:tcW w:w="78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502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0.55x</w:t>
            </w:r>
          </w:p>
          <w:p>
            <w:pPr>
              <w:pStyle w:val="TableParagraph"/>
              <w:spacing w:before="9"/>
              <w:ind w:left="502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4.24x</w:t>
            </w:r>
          </w:p>
          <w:p>
            <w:pPr>
              <w:pStyle w:val="TableParagraph"/>
              <w:spacing w:before="11"/>
              <w:ind w:left="503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2.57x</w:t>
            </w:r>
          </w:p>
          <w:p>
            <w:pPr>
              <w:pStyle w:val="TableParagraph"/>
              <w:spacing w:before="12"/>
              <w:ind w:left="503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3.07x</w:t>
            </w:r>
          </w:p>
        </w:tc>
        <w:tc>
          <w:tcPr>
            <w:tcW w:w="67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340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8.17x</w:t>
            </w:r>
          </w:p>
          <w:p>
            <w:pPr>
              <w:pStyle w:val="TableParagraph"/>
              <w:spacing w:before="9"/>
              <w:ind w:left="289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31.81x</w:t>
            </w:r>
          </w:p>
          <w:p>
            <w:pPr>
              <w:pStyle w:val="TableParagraph"/>
              <w:spacing w:before="11"/>
              <w:ind w:left="290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18.19x</w:t>
            </w:r>
          </w:p>
          <w:p>
            <w:pPr>
              <w:pStyle w:val="TableParagraph"/>
              <w:spacing w:before="12"/>
              <w:ind w:left="289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16.79x</w:t>
            </w:r>
          </w:p>
        </w:tc>
        <w:tc>
          <w:tcPr>
            <w:tcW w:w="63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349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6.11x</w:t>
            </w:r>
          </w:p>
          <w:p>
            <w:pPr>
              <w:pStyle w:val="TableParagraph"/>
              <w:spacing w:before="9"/>
              <w:ind w:left="297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18.77x</w:t>
            </w:r>
          </w:p>
          <w:p>
            <w:pPr>
              <w:pStyle w:val="TableParagraph"/>
              <w:spacing w:before="11"/>
              <w:ind w:left="297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12.25x</w:t>
            </w:r>
          </w:p>
          <w:p>
            <w:pPr>
              <w:pStyle w:val="TableParagraph"/>
              <w:spacing w:before="12"/>
              <w:ind w:left="296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11.84x</w:t>
            </w:r>
          </w:p>
        </w:tc>
        <w:tc>
          <w:tcPr>
            <w:tcW w:w="57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293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4.64x</w:t>
            </w:r>
          </w:p>
          <w:p>
            <w:pPr>
              <w:pStyle w:val="TableParagraph"/>
              <w:spacing w:before="9"/>
              <w:ind w:left="240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17.85x</w:t>
            </w:r>
          </w:p>
          <w:p>
            <w:pPr>
              <w:pStyle w:val="TableParagraph"/>
              <w:spacing w:before="11"/>
              <w:ind w:left="241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10.70x</w:t>
            </w:r>
          </w:p>
          <w:p>
            <w:pPr>
              <w:pStyle w:val="TableParagraph"/>
              <w:spacing w:before="12"/>
              <w:ind w:left="240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10.25x</w:t>
            </w:r>
          </w:p>
        </w:tc>
        <w:tc>
          <w:tcPr>
            <w:tcW w:w="39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155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4"/>
                <w:sz w:val="9"/>
              </w:rPr>
              <w:t>0.22</w:t>
            </w:r>
          </w:p>
          <w:p>
            <w:pPr>
              <w:pStyle w:val="TableParagraph"/>
              <w:spacing w:before="9"/>
              <w:ind w:left="154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4"/>
                <w:sz w:val="9"/>
              </w:rPr>
              <w:t>1.41</w:t>
            </w:r>
          </w:p>
          <w:p>
            <w:pPr>
              <w:pStyle w:val="TableParagraph"/>
              <w:spacing w:before="11"/>
              <w:ind w:left="155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4"/>
                <w:sz w:val="9"/>
              </w:rPr>
              <w:t>0.78</w:t>
            </w:r>
          </w:p>
          <w:p>
            <w:pPr>
              <w:pStyle w:val="TableParagraph"/>
              <w:spacing w:before="12"/>
              <w:ind w:left="154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4"/>
                <w:sz w:val="9"/>
              </w:rPr>
              <w:t>0.80</w:t>
            </w:r>
          </w:p>
        </w:tc>
        <w:tc>
          <w:tcPr>
            <w:tcW w:w="45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130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15.4%</w:t>
            </w:r>
          </w:p>
          <w:p>
            <w:pPr>
              <w:pStyle w:val="TableParagraph"/>
              <w:spacing w:before="9"/>
              <w:ind w:left="131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36.9%</w:t>
            </w:r>
          </w:p>
          <w:p>
            <w:pPr>
              <w:pStyle w:val="TableParagraph"/>
              <w:spacing w:before="11"/>
              <w:ind w:left="130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22.0%</w:t>
            </w:r>
          </w:p>
          <w:p>
            <w:pPr>
              <w:pStyle w:val="TableParagraph"/>
              <w:spacing w:before="12"/>
              <w:ind w:left="131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19.5%</w:t>
            </w:r>
          </w:p>
        </w:tc>
        <w:tc>
          <w:tcPr>
            <w:tcW w:w="50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spacing w:before="23"/>
              <w:rPr>
                <w:sz w:val="9"/>
              </w:rPr>
            </w:pPr>
          </w:p>
          <w:p>
            <w:pPr>
              <w:pStyle w:val="TableParagraph"/>
              <w:ind w:left="182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21.1%</w:t>
            </w:r>
          </w:p>
          <w:p>
            <w:pPr>
              <w:pStyle w:val="TableParagraph"/>
              <w:spacing w:before="9"/>
              <w:ind w:left="182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40.6%</w:t>
            </w:r>
          </w:p>
          <w:p>
            <w:pPr>
              <w:pStyle w:val="TableParagraph"/>
              <w:spacing w:before="11"/>
              <w:ind w:left="182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26.1%</w:t>
            </w:r>
          </w:p>
          <w:p>
            <w:pPr>
              <w:pStyle w:val="TableParagraph"/>
              <w:spacing w:before="12"/>
              <w:ind w:left="181"/>
              <w:rPr>
                <w:rFonts w:ascii="Tahoma"/>
                <w:b/>
                <w:sz w:val="9"/>
              </w:rPr>
            </w:pPr>
            <w:r>
              <w:rPr>
                <w:rFonts w:ascii="Tahoma"/>
                <w:b/>
                <w:color w:val="FFFFFF"/>
                <w:spacing w:val="-2"/>
                <w:sz w:val="9"/>
              </w:rPr>
              <w:t>22.3%</w:t>
            </w:r>
          </w:p>
        </w:tc>
        <w:tc>
          <w:tcPr>
            <w:tcW w:w="388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4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spacing w:val="-8"/>
        </w:rPr>
        <w:t>VALUATION</w:t>
      </w:r>
      <w:r>
        <w:rPr>
          <w:spacing w:val="-2"/>
        </w:rPr>
        <w:t> METHODOLOGY</w:t>
      </w:r>
    </w:p>
    <w:p>
      <w:pPr>
        <w:pStyle w:val="BodyText"/>
        <w:spacing w:line="249" w:lineRule="auto" w:before="177"/>
        <w:ind w:left="345"/>
      </w:pPr>
      <w:r>
        <w:rPr/>
        <w:t>We</w:t>
      </w:r>
      <w:r>
        <w:rPr>
          <w:spacing w:val="-8"/>
        </w:rPr>
        <w:t> </w:t>
      </w:r>
      <w:r>
        <w:rPr/>
        <w:t>are</w:t>
      </w:r>
      <w:r>
        <w:rPr>
          <w:spacing w:val="-6"/>
        </w:rPr>
        <w:t> </w:t>
      </w:r>
      <w:r>
        <w:rPr/>
        <w:t>estimating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value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Project.</w:t>
      </w:r>
      <w:r>
        <w:rPr>
          <w:spacing w:val="40"/>
        </w:rPr>
        <w:t> </w:t>
      </w:r>
      <w:r>
        <w:rPr/>
        <w:t>There</w:t>
      </w:r>
      <w:r>
        <w:rPr>
          <w:spacing w:val="-8"/>
        </w:rPr>
        <w:t> </w:t>
      </w:r>
      <w:r>
        <w:rPr/>
        <w:t>are</w:t>
      </w:r>
      <w:r>
        <w:rPr>
          <w:spacing w:val="-6"/>
        </w:rPr>
        <w:t> </w:t>
      </w:r>
      <w:r>
        <w:rPr/>
        <w:t>various</w:t>
      </w:r>
      <w:r>
        <w:rPr>
          <w:spacing w:val="-8"/>
        </w:rPr>
        <w:t> </w:t>
      </w:r>
      <w:r>
        <w:rPr/>
        <w:t>approaches</w:t>
      </w:r>
      <w:r>
        <w:rPr>
          <w:spacing w:val="-5"/>
        </w:rPr>
        <w:t> </w:t>
      </w:r>
      <w:r>
        <w:rPr/>
        <w:t>which</w:t>
      </w:r>
      <w:r>
        <w:rPr>
          <w:spacing w:val="-6"/>
        </w:rPr>
        <w:t> </w:t>
      </w:r>
      <w:r>
        <w:rPr/>
        <w:t>can</w:t>
      </w:r>
      <w:r>
        <w:rPr>
          <w:spacing w:val="-8"/>
        </w:rPr>
        <w:t> </w:t>
      </w:r>
      <w:r>
        <w:rPr/>
        <w:t>be</w:t>
      </w:r>
      <w:r>
        <w:rPr>
          <w:spacing w:val="-2"/>
        </w:rPr>
        <w:t> </w:t>
      </w:r>
      <w:r>
        <w:rPr/>
        <w:t>adopted</w:t>
      </w:r>
      <w:r>
        <w:rPr>
          <w:spacing w:val="-1"/>
        </w:rPr>
        <w:t> </w:t>
      </w:r>
      <w:r>
        <w:rPr/>
        <w:t>in</w:t>
      </w:r>
      <w:r>
        <w:rPr>
          <w:spacing w:val="-8"/>
        </w:rPr>
        <w:t> </w:t>
      </w:r>
      <w:r>
        <w:rPr/>
        <w:t>these</w:t>
      </w:r>
      <w:r>
        <w:rPr>
          <w:spacing w:val="-2"/>
        </w:rPr>
        <w:t> </w:t>
      </w:r>
      <w:r>
        <w:rPr/>
        <w:t>circumstances, depending on the information available.</w:t>
      </w:r>
      <w:r>
        <w:rPr>
          <w:spacing w:val="40"/>
        </w:rPr>
        <w:t> </w:t>
      </w:r>
      <w:r>
        <w:rPr/>
        <w:t>These are:</w:t>
      </w:r>
    </w:p>
    <w:p>
      <w:pPr>
        <w:pStyle w:val="ListParagraph"/>
        <w:numPr>
          <w:ilvl w:val="1"/>
          <w:numId w:val="4"/>
        </w:numPr>
        <w:tabs>
          <w:tab w:pos="1677" w:val="left" w:leader="none"/>
        </w:tabs>
        <w:spacing w:line="240" w:lineRule="auto" w:before="227" w:after="0"/>
        <w:ind w:left="1677" w:right="0" w:hanging="398"/>
        <w:jc w:val="left"/>
        <w:rPr>
          <w:sz w:val="22"/>
        </w:rPr>
      </w:pPr>
      <w:r>
        <w:rPr>
          <w:spacing w:val="-4"/>
          <w:sz w:val="22"/>
        </w:rPr>
        <w:t>Cost</w:t>
      </w:r>
    </w:p>
    <w:p>
      <w:pPr>
        <w:pStyle w:val="ListParagraph"/>
        <w:numPr>
          <w:ilvl w:val="1"/>
          <w:numId w:val="4"/>
        </w:numPr>
        <w:tabs>
          <w:tab w:pos="1677" w:val="left" w:leader="none"/>
        </w:tabs>
        <w:spacing w:line="240" w:lineRule="auto" w:before="6" w:after="0"/>
        <w:ind w:left="1677" w:right="0" w:hanging="398"/>
        <w:jc w:val="left"/>
        <w:rPr>
          <w:sz w:val="22"/>
        </w:rPr>
      </w:pPr>
      <w:r>
        <w:rPr>
          <w:spacing w:val="-2"/>
          <w:sz w:val="22"/>
        </w:rPr>
        <w:t>Market</w:t>
      </w:r>
    </w:p>
    <w:p>
      <w:pPr>
        <w:pStyle w:val="ListParagraph"/>
        <w:numPr>
          <w:ilvl w:val="1"/>
          <w:numId w:val="4"/>
        </w:numPr>
        <w:tabs>
          <w:tab w:pos="1677" w:val="left" w:leader="none"/>
        </w:tabs>
        <w:spacing w:line="240" w:lineRule="auto" w:before="11" w:after="0"/>
        <w:ind w:left="1677" w:right="0" w:hanging="398"/>
        <w:jc w:val="left"/>
        <w:rPr>
          <w:sz w:val="22"/>
        </w:rPr>
      </w:pPr>
      <w:r>
        <w:rPr>
          <w:spacing w:val="-2"/>
          <w:sz w:val="22"/>
        </w:rPr>
        <w:t>Income</w:t>
      </w:r>
    </w:p>
    <w:p>
      <w:pPr>
        <w:pStyle w:val="BodyText"/>
        <w:spacing w:before="16"/>
      </w:pPr>
    </w:p>
    <w:p>
      <w:pPr>
        <w:pStyle w:val="BodyText"/>
        <w:spacing w:line="249" w:lineRule="auto" w:before="1"/>
        <w:ind w:left="345" w:right="77"/>
        <w:jc w:val="both"/>
      </w:pPr>
      <w:r>
        <w:rPr/>
        <w:t>We</w:t>
      </w:r>
      <w:r>
        <w:rPr>
          <w:spacing w:val="-8"/>
        </w:rPr>
        <w:t> </w:t>
      </w:r>
      <w:r>
        <w:rPr/>
        <w:t>summarise</w:t>
      </w:r>
      <w:r>
        <w:rPr>
          <w:spacing w:val="-6"/>
        </w:rPr>
        <w:t> </w:t>
      </w:r>
      <w:r>
        <w:rPr/>
        <w:t>these</w:t>
      </w:r>
      <w:r>
        <w:rPr>
          <w:spacing w:val="-6"/>
        </w:rPr>
        <w:t> </w:t>
      </w:r>
      <w:r>
        <w:rPr/>
        <w:t>approaches</w:t>
      </w:r>
      <w:r>
        <w:rPr>
          <w:spacing w:val="-5"/>
        </w:rPr>
        <w:t> </w:t>
      </w:r>
      <w:r>
        <w:rPr/>
        <w:t>below</w:t>
      </w:r>
      <w:r>
        <w:rPr>
          <w:spacing w:val="-8"/>
        </w:rPr>
        <w:t> </w:t>
      </w:r>
      <w:r>
        <w:rPr/>
        <w:t>and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addition</w:t>
      </w:r>
      <w:r>
        <w:rPr>
          <w:spacing w:val="-6"/>
        </w:rPr>
        <w:t> </w:t>
      </w:r>
      <w:r>
        <w:rPr/>
        <w:t>give</w:t>
      </w:r>
      <w:r>
        <w:rPr>
          <w:spacing w:val="-11"/>
        </w:rPr>
        <w:t> </w:t>
      </w:r>
      <w:r>
        <w:rPr/>
        <w:t>our</w:t>
      </w:r>
      <w:r>
        <w:rPr>
          <w:spacing w:val="-8"/>
        </w:rPr>
        <w:t> </w:t>
      </w:r>
      <w:r>
        <w:rPr/>
        <w:t>preferred</w:t>
      </w:r>
      <w:r>
        <w:rPr>
          <w:spacing w:val="-7"/>
        </w:rPr>
        <w:t> </w:t>
      </w:r>
      <w:r>
        <w:rPr/>
        <w:t>approach</w:t>
      </w:r>
      <w:r>
        <w:rPr>
          <w:spacing w:val="-6"/>
        </w:rPr>
        <w:t> </w:t>
      </w:r>
      <w:r>
        <w:rPr/>
        <w:t>and</w:t>
      </w:r>
      <w:r>
        <w:rPr>
          <w:spacing w:val="-7"/>
        </w:rPr>
        <w:t> </w:t>
      </w:r>
      <w:r>
        <w:rPr/>
        <w:t>methodology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this</w:t>
      </w:r>
      <w:r>
        <w:rPr>
          <w:spacing w:val="-5"/>
        </w:rPr>
        <w:t> </w:t>
      </w:r>
      <w:r>
        <w:rPr/>
        <w:t>appraisal.</w:t>
      </w:r>
      <w:r>
        <w:rPr>
          <w:spacing w:val="40"/>
        </w:rPr>
        <w:t> </w:t>
      </w:r>
      <w:r>
        <w:rPr/>
        <w:t>In determining</w:t>
      </w:r>
      <w:r>
        <w:rPr>
          <w:spacing w:val="-17"/>
        </w:rPr>
        <w:t> </w:t>
      </w:r>
      <w:r>
        <w:rPr/>
        <w:t>the</w:t>
      </w:r>
      <w:r>
        <w:rPr>
          <w:spacing w:val="-17"/>
        </w:rPr>
        <w:t> </w:t>
      </w:r>
      <w:r>
        <w:rPr/>
        <w:t>appropriate</w:t>
      </w:r>
      <w:r>
        <w:rPr>
          <w:spacing w:val="-17"/>
        </w:rPr>
        <w:t> </w:t>
      </w:r>
      <w:r>
        <w:rPr/>
        <w:t>methodology</w:t>
      </w:r>
      <w:r>
        <w:rPr>
          <w:spacing w:val="-14"/>
        </w:rPr>
        <w:t> </w:t>
      </w:r>
      <w:r>
        <w:rPr/>
        <w:t>to</w:t>
      </w:r>
      <w:r>
        <w:rPr>
          <w:spacing w:val="-11"/>
        </w:rPr>
        <w:t> </w:t>
      </w:r>
      <w:r>
        <w:rPr/>
        <w:t>adopt,</w:t>
      </w:r>
      <w:r>
        <w:rPr>
          <w:spacing w:val="-14"/>
        </w:rPr>
        <w:t> </w:t>
      </w:r>
      <w:r>
        <w:rPr/>
        <w:t>it</w:t>
      </w:r>
      <w:r>
        <w:rPr>
          <w:spacing w:val="-19"/>
        </w:rPr>
        <w:t> </w:t>
      </w:r>
      <w:r>
        <w:rPr/>
        <w:t>is</w:t>
      </w:r>
      <w:r>
        <w:rPr>
          <w:spacing w:val="-14"/>
        </w:rPr>
        <w:t> </w:t>
      </w:r>
      <w:r>
        <w:rPr/>
        <w:t>necessary</w:t>
      </w:r>
      <w:r>
        <w:rPr>
          <w:spacing w:val="-13"/>
        </w:rPr>
        <w:t> </w:t>
      </w:r>
      <w:r>
        <w:rPr/>
        <w:t>to</w:t>
      </w:r>
      <w:r>
        <w:rPr>
          <w:spacing w:val="-17"/>
        </w:rPr>
        <w:t> </w:t>
      </w:r>
      <w:r>
        <w:rPr/>
        <w:t>recognise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attributes</w:t>
      </w:r>
      <w:r>
        <w:rPr>
          <w:spacing w:val="-15"/>
        </w:rPr>
        <w:t> </w:t>
      </w:r>
      <w:r>
        <w:rPr/>
        <w:t>that</w:t>
      </w:r>
      <w:r>
        <w:rPr>
          <w:spacing w:val="-17"/>
        </w:rPr>
        <w:t> </w:t>
      </w:r>
      <w:r>
        <w:rPr/>
        <w:t>affect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valuation</w:t>
      </w:r>
      <w:r>
        <w:rPr>
          <w:spacing w:val="-17"/>
        </w:rPr>
        <w:t> </w:t>
      </w:r>
      <w:r>
        <w:rPr/>
        <w:t>of</w:t>
      </w:r>
      <w:r>
        <w:rPr>
          <w:spacing w:val="-18"/>
        </w:rPr>
        <w:t> </w:t>
      </w:r>
      <w:r>
        <w:rPr/>
        <w:t>the Equity Value</w:t>
      </w:r>
      <w:r>
        <w:rPr>
          <w:spacing w:val="-2"/>
        </w:rPr>
        <w:t> </w:t>
      </w:r>
      <w:r>
        <w:rPr/>
        <w:t>and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regard</w:t>
      </w:r>
      <w:r>
        <w:rPr>
          <w:spacing w:val="-4"/>
        </w:rPr>
        <w:t> </w:t>
      </w:r>
      <w:r>
        <w:rPr/>
        <w:t>to</w:t>
      </w:r>
      <w:r>
        <w:rPr>
          <w:spacing w:val="-6"/>
        </w:rPr>
        <w:t> </w:t>
      </w:r>
      <w:r>
        <w:rPr/>
        <w:t>the facts</w:t>
      </w:r>
      <w:r>
        <w:rPr>
          <w:spacing w:val="-3"/>
        </w:rPr>
        <w:t> </w:t>
      </w:r>
      <w:r>
        <w:rPr/>
        <w:t>pertaining to</w:t>
      </w:r>
      <w:r>
        <w:rPr>
          <w:spacing w:val="-5"/>
        </w:rPr>
        <w:t> </w:t>
      </w:r>
      <w:r>
        <w:rPr/>
        <w:t>the assets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question.</w:t>
      </w:r>
    </w:p>
    <w:p>
      <w:pPr>
        <w:pStyle w:val="Heading2"/>
        <w:spacing w:before="222"/>
        <w:jc w:val="both"/>
      </w:pPr>
      <w:r>
        <w:rPr/>
        <w:t>Income</w:t>
      </w:r>
      <w:r>
        <w:rPr>
          <w:spacing w:val="-2"/>
        </w:rPr>
        <w:t> approach</w:t>
      </w:r>
    </w:p>
    <w:p>
      <w:pPr>
        <w:pStyle w:val="BodyText"/>
        <w:spacing w:before="23"/>
        <w:rPr>
          <w:rFonts w:ascii="Tahoma"/>
          <w:b/>
        </w:rPr>
      </w:pPr>
    </w:p>
    <w:p>
      <w:pPr>
        <w:pStyle w:val="BodyText"/>
        <w:spacing w:line="247" w:lineRule="auto"/>
        <w:ind w:left="345"/>
      </w:pPr>
      <w:r>
        <w:rPr/>
        <w:t>The</w:t>
      </w:r>
      <w:r>
        <w:rPr>
          <w:spacing w:val="-18"/>
        </w:rPr>
        <w:t> </w:t>
      </w:r>
      <w:r>
        <w:rPr/>
        <w:t>income</w:t>
      </w:r>
      <w:r>
        <w:rPr>
          <w:spacing w:val="-18"/>
        </w:rPr>
        <w:t> </w:t>
      </w:r>
      <w:r>
        <w:rPr/>
        <w:t>approach</w:t>
      </w:r>
      <w:r>
        <w:rPr>
          <w:spacing w:val="-15"/>
        </w:rPr>
        <w:t> </w:t>
      </w:r>
      <w:r>
        <w:rPr/>
        <w:t>(or</w:t>
      </w:r>
      <w:r>
        <w:rPr>
          <w:spacing w:val="-20"/>
        </w:rPr>
        <w:t> </w:t>
      </w:r>
      <w:r>
        <w:rPr/>
        <w:t>Discounted</w:t>
      </w:r>
      <w:r>
        <w:rPr>
          <w:spacing w:val="-16"/>
        </w:rPr>
        <w:t> </w:t>
      </w:r>
      <w:r>
        <w:rPr/>
        <w:t>Cash</w:t>
      </w:r>
      <w:r>
        <w:rPr>
          <w:spacing w:val="-15"/>
        </w:rPr>
        <w:t> </w:t>
      </w:r>
      <w:r>
        <w:rPr/>
        <w:t>Flow</w:t>
      </w:r>
      <w:r>
        <w:rPr>
          <w:spacing w:val="-20"/>
        </w:rPr>
        <w:t> </w:t>
      </w:r>
      <w:r>
        <w:rPr/>
        <w:t>Analysis)</w:t>
      </w:r>
      <w:r>
        <w:rPr>
          <w:spacing w:val="-14"/>
        </w:rPr>
        <w:t> </w:t>
      </w:r>
      <w:r>
        <w:rPr/>
        <w:t>measures</w:t>
      </w:r>
      <w:r>
        <w:rPr>
          <w:spacing w:val="-18"/>
        </w:rPr>
        <w:t> </w:t>
      </w:r>
      <w:r>
        <w:rPr/>
        <w:t>the</w:t>
      </w:r>
      <w:r>
        <w:rPr>
          <w:spacing w:val="-18"/>
        </w:rPr>
        <w:t> </w:t>
      </w:r>
      <w:r>
        <w:rPr/>
        <w:t>value</w:t>
      </w:r>
      <w:r>
        <w:rPr>
          <w:spacing w:val="-20"/>
        </w:rPr>
        <w:t> </w:t>
      </w:r>
      <w:r>
        <w:rPr/>
        <w:t>of</w:t>
      </w:r>
      <w:r>
        <w:rPr>
          <w:spacing w:val="-20"/>
        </w:rPr>
        <w:t> </w:t>
      </w:r>
      <w:r>
        <w:rPr/>
        <w:t>an</w:t>
      </w:r>
      <w:r>
        <w:rPr>
          <w:spacing w:val="-19"/>
        </w:rPr>
        <w:t> </w:t>
      </w:r>
      <w:r>
        <w:rPr/>
        <w:t>asset</w:t>
      </w:r>
      <w:r>
        <w:rPr>
          <w:spacing w:val="-18"/>
        </w:rPr>
        <w:t> </w:t>
      </w:r>
      <w:r>
        <w:rPr/>
        <w:t>by</w:t>
      </w:r>
      <w:r>
        <w:rPr>
          <w:spacing w:val="-18"/>
        </w:rPr>
        <w:t> </w:t>
      </w:r>
      <w:r>
        <w:rPr/>
        <w:t>the</w:t>
      </w:r>
      <w:r>
        <w:rPr>
          <w:spacing w:val="-15"/>
        </w:rPr>
        <w:t> </w:t>
      </w:r>
      <w:r>
        <w:rPr/>
        <w:t>present</w:t>
      </w:r>
      <w:r>
        <w:rPr>
          <w:spacing w:val="-18"/>
        </w:rPr>
        <w:t> </w:t>
      </w:r>
      <w:r>
        <w:rPr/>
        <w:t>value</w:t>
      </w:r>
      <w:r>
        <w:rPr>
          <w:spacing w:val="-18"/>
        </w:rPr>
        <w:t> </w:t>
      </w:r>
      <w:r>
        <w:rPr/>
        <w:t>of</w:t>
      </w:r>
      <w:r>
        <w:rPr>
          <w:spacing w:val="-20"/>
        </w:rPr>
        <w:t> </w:t>
      </w:r>
      <w:r>
        <w:rPr/>
        <w:t>its</w:t>
      </w:r>
      <w:r>
        <w:rPr>
          <w:spacing w:val="-16"/>
        </w:rPr>
        <w:t> </w:t>
      </w:r>
      <w:r>
        <w:rPr/>
        <w:t>future economic</w:t>
      </w:r>
      <w:r>
        <w:rPr>
          <w:spacing w:val="-7"/>
        </w:rPr>
        <w:t> </w:t>
      </w:r>
      <w:r>
        <w:rPr/>
        <w:t>benefits.</w:t>
      </w:r>
      <w:r>
        <w:rPr>
          <w:spacing w:val="-10"/>
        </w:rPr>
        <w:t> </w:t>
      </w:r>
      <w:r>
        <w:rPr/>
        <w:t>These</w:t>
      </w:r>
      <w:r>
        <w:rPr>
          <w:spacing w:val="-4"/>
        </w:rPr>
        <w:t> </w:t>
      </w:r>
      <w:r>
        <w:rPr/>
        <w:t>benefits</w:t>
      </w:r>
      <w:r>
        <w:rPr>
          <w:spacing w:val="-6"/>
        </w:rPr>
        <w:t> </w:t>
      </w:r>
      <w:r>
        <w:rPr/>
        <w:t>can</w:t>
      </w:r>
      <w:r>
        <w:rPr>
          <w:spacing w:val="-7"/>
        </w:rPr>
        <w:t> </w:t>
      </w:r>
      <w:r>
        <w:rPr/>
        <w:t>include</w:t>
      </w:r>
      <w:r>
        <w:rPr>
          <w:spacing w:val="-7"/>
        </w:rPr>
        <w:t> </w:t>
      </w:r>
      <w:r>
        <w:rPr/>
        <w:t>earnings,</w:t>
      </w:r>
      <w:r>
        <w:rPr>
          <w:spacing w:val="-10"/>
        </w:rPr>
        <w:t> </w:t>
      </w:r>
      <w:r>
        <w:rPr/>
        <w:t>cost</w:t>
      </w:r>
      <w:r>
        <w:rPr>
          <w:spacing w:val="-7"/>
        </w:rPr>
        <w:t> </w:t>
      </w:r>
      <w:r>
        <w:rPr/>
        <w:t>savings,</w:t>
      </w:r>
      <w:r>
        <w:rPr>
          <w:spacing w:val="-7"/>
        </w:rPr>
        <w:t> </w:t>
      </w:r>
      <w:r>
        <w:rPr/>
        <w:t>tax</w:t>
      </w:r>
      <w:r>
        <w:rPr>
          <w:spacing w:val="-10"/>
        </w:rPr>
        <w:t> </w:t>
      </w:r>
      <w:r>
        <w:rPr/>
        <w:t>deductions,</w:t>
      </w:r>
      <w:r>
        <w:rPr>
          <w:spacing w:val="-4"/>
        </w:rPr>
        <w:t> </w:t>
      </w:r>
      <w:r>
        <w:rPr/>
        <w:t>and</w:t>
      </w:r>
      <w:r>
        <w:rPr>
          <w:spacing w:val="-6"/>
        </w:rPr>
        <w:t> </w:t>
      </w:r>
      <w:r>
        <w:rPr/>
        <w:t>proceeds</w:t>
      </w:r>
      <w:r>
        <w:rPr>
          <w:spacing w:val="-7"/>
        </w:rPr>
        <w:t> </w:t>
      </w:r>
      <w:r>
        <w:rPr/>
        <w:t>from</w:t>
      </w:r>
      <w:r>
        <w:rPr>
          <w:spacing w:val="-7"/>
        </w:rPr>
        <w:t> </w:t>
      </w:r>
      <w:r>
        <w:rPr/>
        <w:t>its</w:t>
      </w:r>
      <w:r>
        <w:rPr>
          <w:spacing w:val="-10"/>
        </w:rPr>
        <w:t> </w:t>
      </w:r>
      <w:r>
        <w:rPr/>
        <w:t>disposition.</w:t>
      </w:r>
    </w:p>
    <w:p>
      <w:pPr>
        <w:pStyle w:val="BodyText"/>
        <w:spacing w:line="249" w:lineRule="auto" w:before="1"/>
        <w:ind w:left="345"/>
      </w:pPr>
      <w:r>
        <w:rPr/>
        <w:t>Value indications are developed by discounting expected cash flows to their present value at a rate</w:t>
      </w:r>
      <w:r>
        <w:rPr>
          <w:spacing w:val="-2"/>
        </w:rPr>
        <w:t> </w:t>
      </w:r>
      <w:r>
        <w:rPr/>
        <w:t>of return that </w:t>
      </w:r>
      <w:r>
        <w:rPr>
          <w:spacing w:val="-2"/>
        </w:rPr>
        <w:t>incorporates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risks</w:t>
      </w:r>
      <w:r>
        <w:rPr>
          <w:spacing w:val="-14"/>
        </w:rPr>
        <w:t> </w:t>
      </w:r>
      <w:r>
        <w:rPr>
          <w:spacing w:val="-2"/>
        </w:rPr>
        <w:t>associated</w:t>
      </w:r>
      <w:r>
        <w:rPr>
          <w:spacing w:val="-10"/>
        </w:rPr>
        <w:t> </w:t>
      </w:r>
      <w:r>
        <w:rPr>
          <w:spacing w:val="-2"/>
        </w:rPr>
        <w:t>with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particular</w:t>
      </w:r>
      <w:r>
        <w:rPr>
          <w:spacing w:val="-10"/>
        </w:rPr>
        <w:t> </w:t>
      </w:r>
      <w:r>
        <w:rPr>
          <w:spacing w:val="-2"/>
        </w:rPr>
        <w:t>investment.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discount</w:t>
      </w:r>
      <w:r>
        <w:rPr>
          <w:spacing w:val="-10"/>
        </w:rPr>
        <w:t> </w:t>
      </w:r>
      <w:r>
        <w:rPr>
          <w:spacing w:val="-2"/>
        </w:rPr>
        <w:t>rate</w:t>
      </w:r>
      <w:r>
        <w:rPr>
          <w:spacing w:val="-12"/>
        </w:rPr>
        <w:t> </w:t>
      </w:r>
      <w:r>
        <w:rPr>
          <w:spacing w:val="-2"/>
        </w:rPr>
        <w:t>selected</w:t>
      </w:r>
      <w:r>
        <w:rPr>
          <w:spacing w:val="-9"/>
        </w:rPr>
        <w:t> </w:t>
      </w:r>
      <w:r>
        <w:rPr>
          <w:spacing w:val="-2"/>
        </w:rPr>
        <w:t>is</w:t>
      </w:r>
      <w:r>
        <w:rPr>
          <w:spacing w:val="-14"/>
        </w:rPr>
        <w:t> </w:t>
      </w:r>
      <w:r>
        <w:rPr>
          <w:spacing w:val="-2"/>
        </w:rPr>
        <w:t>generally</w:t>
      </w:r>
      <w:r>
        <w:rPr>
          <w:spacing w:val="-9"/>
        </w:rPr>
        <w:t> </w:t>
      </w:r>
      <w:r>
        <w:rPr>
          <w:spacing w:val="-2"/>
        </w:rPr>
        <w:t>based</w:t>
      </w:r>
      <w:r>
        <w:rPr>
          <w:spacing w:val="-9"/>
        </w:rPr>
        <w:t> </w:t>
      </w:r>
      <w:r>
        <w:rPr>
          <w:spacing w:val="-2"/>
        </w:rPr>
        <w:t>on</w:t>
      </w:r>
      <w:r>
        <w:rPr>
          <w:spacing w:val="-12"/>
        </w:rPr>
        <w:t> </w:t>
      </w:r>
      <w:r>
        <w:rPr>
          <w:spacing w:val="-2"/>
        </w:rPr>
        <w:t>rates</w:t>
      </w:r>
      <w:r>
        <w:rPr>
          <w:spacing w:val="-10"/>
        </w:rPr>
        <w:t> </w:t>
      </w:r>
      <w:r>
        <w:rPr>
          <w:spacing w:val="-2"/>
        </w:rPr>
        <w:t>of </w:t>
      </w:r>
      <w:r>
        <w:rPr/>
        <w:t>return</w:t>
      </w:r>
      <w:r>
        <w:rPr>
          <w:spacing w:val="-9"/>
        </w:rPr>
        <w:t> </w:t>
      </w:r>
      <w:r>
        <w:rPr/>
        <w:t>available</w:t>
      </w:r>
      <w:r>
        <w:rPr>
          <w:spacing w:val="-11"/>
        </w:rPr>
        <w:t> </w:t>
      </w:r>
      <w:r>
        <w:rPr/>
        <w:t>from</w:t>
      </w:r>
      <w:r>
        <w:rPr>
          <w:spacing w:val="-9"/>
        </w:rPr>
        <w:t> </w:t>
      </w:r>
      <w:r>
        <w:rPr/>
        <w:t>alternative</w:t>
      </w:r>
      <w:r>
        <w:rPr>
          <w:spacing w:val="-11"/>
        </w:rPr>
        <w:t> </w:t>
      </w:r>
      <w:r>
        <w:rPr/>
        <w:t>investments</w:t>
      </w:r>
      <w:r>
        <w:rPr>
          <w:spacing w:val="-8"/>
        </w:rPr>
        <w:t> </w:t>
      </w:r>
      <w:r>
        <w:rPr/>
        <w:t>of</w:t>
      </w:r>
      <w:r>
        <w:rPr>
          <w:spacing w:val="-12"/>
        </w:rPr>
        <w:t> </w:t>
      </w:r>
      <w:r>
        <w:rPr/>
        <w:t>similar</w:t>
      </w:r>
      <w:r>
        <w:rPr>
          <w:spacing w:val="-13"/>
        </w:rPr>
        <w:t> </w:t>
      </w:r>
      <w:r>
        <w:rPr/>
        <w:t>type</w:t>
      </w:r>
      <w:r>
        <w:rPr>
          <w:spacing w:val="-11"/>
        </w:rPr>
        <w:t> </w:t>
      </w:r>
      <w:r>
        <w:rPr/>
        <w:t>and</w:t>
      </w:r>
      <w:r>
        <w:rPr>
          <w:spacing w:val="-9"/>
        </w:rPr>
        <w:t> </w:t>
      </w:r>
      <w:r>
        <w:rPr/>
        <w:t>quality</w:t>
      </w:r>
      <w:r>
        <w:rPr>
          <w:spacing w:val="-6"/>
        </w:rPr>
        <w:t> </w:t>
      </w:r>
      <w:r>
        <w:rPr/>
        <w:t>as</w:t>
      </w:r>
      <w:r>
        <w:rPr>
          <w:spacing w:val="-8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1"/>
        </w:rPr>
        <w:t> </w:t>
      </w:r>
      <w:r>
        <w:rPr/>
        <w:t>date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value.</w:t>
      </w:r>
    </w:p>
    <w:p>
      <w:pPr>
        <w:pStyle w:val="BodyText"/>
        <w:spacing w:before="6"/>
      </w:pPr>
    </w:p>
    <w:p>
      <w:pPr>
        <w:pStyle w:val="Heading2"/>
        <w:jc w:val="both"/>
      </w:pPr>
      <w:r>
        <w:rPr>
          <w:spacing w:val="-2"/>
        </w:rPr>
        <w:t>Market</w:t>
      </w:r>
      <w:r>
        <w:rPr>
          <w:spacing w:val="-5"/>
        </w:rPr>
        <w:t> </w:t>
      </w:r>
      <w:r>
        <w:rPr>
          <w:spacing w:val="-2"/>
        </w:rPr>
        <w:t>Approach</w:t>
      </w:r>
    </w:p>
    <w:p>
      <w:pPr>
        <w:pStyle w:val="BodyText"/>
        <w:spacing w:before="22"/>
        <w:rPr>
          <w:rFonts w:ascii="Tahoma"/>
          <w:b/>
        </w:rPr>
      </w:pPr>
    </w:p>
    <w:p>
      <w:pPr>
        <w:pStyle w:val="BodyText"/>
        <w:spacing w:line="247" w:lineRule="auto"/>
        <w:ind w:left="345" w:right="76"/>
      </w:pPr>
      <w:r>
        <w:rPr/>
        <w:t>The</w:t>
      </w:r>
      <w:r>
        <w:rPr>
          <w:spacing w:val="-2"/>
        </w:rPr>
        <w:t> </w:t>
      </w:r>
      <w:r>
        <w:rPr/>
        <w:t>market</w:t>
      </w:r>
      <w:r>
        <w:rPr>
          <w:spacing w:val="-1"/>
        </w:rPr>
        <w:t> </w:t>
      </w:r>
      <w:r>
        <w:rPr/>
        <w:t>approach</w:t>
      </w:r>
      <w:r>
        <w:rPr>
          <w:spacing w:val="-7"/>
        </w:rPr>
        <w:t> </w:t>
      </w:r>
      <w:r>
        <w:rPr/>
        <w:t>measures</w:t>
      </w:r>
      <w:r>
        <w:rPr>
          <w:spacing w:val="-3"/>
        </w:rPr>
        <w:t> </w:t>
      </w:r>
      <w:r>
        <w:rPr/>
        <w:t>the</w:t>
      </w:r>
      <w:r>
        <w:rPr>
          <w:spacing w:val="-7"/>
        </w:rPr>
        <w:t> </w:t>
      </w:r>
      <w:r>
        <w:rPr/>
        <w:t>value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an</w:t>
      </w:r>
      <w:r>
        <w:rPr>
          <w:spacing w:val="-2"/>
        </w:rPr>
        <w:t> </w:t>
      </w:r>
      <w:r>
        <w:rPr/>
        <w:t>asset</w:t>
      </w:r>
      <w:r>
        <w:rPr>
          <w:spacing w:val="-1"/>
        </w:rPr>
        <w:t> </w:t>
      </w:r>
      <w:r>
        <w:rPr/>
        <w:t>through</w:t>
      </w:r>
      <w:r>
        <w:rPr>
          <w:spacing w:val="-5"/>
        </w:rPr>
        <w:t> </w:t>
      </w:r>
      <w:r>
        <w:rPr/>
        <w:t>the</w:t>
      </w:r>
      <w:r>
        <w:rPr>
          <w:spacing w:val="-7"/>
        </w:rPr>
        <w:t> </w:t>
      </w:r>
      <w:r>
        <w:rPr/>
        <w:t>analysis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recent</w:t>
      </w:r>
      <w:r>
        <w:rPr>
          <w:spacing w:val="-5"/>
        </w:rPr>
        <w:t> </w:t>
      </w:r>
      <w:r>
        <w:rPr/>
        <w:t>sales</w:t>
      </w:r>
      <w:r>
        <w:rPr>
          <w:spacing w:val="-9"/>
        </w:rPr>
        <w:t> </w:t>
      </w:r>
      <w:r>
        <w:rPr/>
        <w:t>or</w:t>
      </w:r>
      <w:r>
        <w:rPr>
          <w:spacing w:val="-8"/>
        </w:rPr>
        <w:t> </w:t>
      </w:r>
      <w:r>
        <w:rPr/>
        <w:t>offerings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comparable property.</w:t>
      </w:r>
      <w:r>
        <w:rPr>
          <w:spacing w:val="-1"/>
        </w:rPr>
        <w:t> </w:t>
      </w:r>
      <w:r>
        <w:rPr/>
        <w:t>This approach consists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developing</w:t>
      </w:r>
      <w:r>
        <w:rPr>
          <w:spacing w:val="-3"/>
        </w:rPr>
        <w:t> </w:t>
      </w:r>
      <w:r>
        <w:rPr/>
        <w:t>market</w:t>
      </w:r>
      <w:r>
        <w:rPr>
          <w:spacing w:val="-1"/>
        </w:rPr>
        <w:t> </w:t>
      </w:r>
      <w:r>
        <w:rPr/>
        <w:t>multiples</w:t>
      </w:r>
      <w:r>
        <w:rPr>
          <w:spacing w:val="-1"/>
        </w:rPr>
        <w:t> </w:t>
      </w:r>
      <w:r>
        <w:rPr/>
        <w:t>based</w:t>
      </w:r>
      <w:r>
        <w:rPr>
          <w:spacing w:val="-1"/>
        </w:rPr>
        <w:t> </w:t>
      </w:r>
      <w:r>
        <w:rPr/>
        <w:t>on</w:t>
      </w:r>
      <w:r>
        <w:rPr>
          <w:spacing w:val="-7"/>
        </w:rPr>
        <w:t> </w:t>
      </w:r>
      <w:r>
        <w:rPr/>
        <w:t>information</w:t>
      </w:r>
      <w:r>
        <w:rPr>
          <w:spacing w:val="-1"/>
        </w:rPr>
        <w:t> </w:t>
      </w:r>
      <w:r>
        <w:rPr/>
        <w:t>available</w:t>
      </w:r>
      <w:r>
        <w:rPr>
          <w:spacing w:val="-3"/>
        </w:rPr>
        <w:t> </w:t>
      </w:r>
      <w:r>
        <w:rPr/>
        <w:t>on</w:t>
      </w:r>
      <w:r>
        <w:rPr>
          <w:spacing w:val="-1"/>
        </w:rPr>
        <w:t> </w:t>
      </w:r>
      <w:r>
        <w:rPr/>
        <w:t>publicly traded companies (Comparable Public Company Analysis)</w:t>
      </w:r>
      <w:r>
        <w:rPr>
          <w:spacing w:val="-3"/>
        </w:rPr>
        <w:t> </w:t>
      </w:r>
      <w:r>
        <w:rPr/>
        <w:t>and acquisitions (Comparable Acquisitions</w:t>
      </w:r>
      <w:r>
        <w:rPr>
          <w:spacing w:val="-1"/>
        </w:rPr>
        <w:t> </w:t>
      </w:r>
      <w:r>
        <w:rPr/>
        <w:t>Analysis). Consideration is given to the financial conditions and operating performance of the company being valued relative to publicly traded companies</w:t>
      </w:r>
      <w:r>
        <w:rPr>
          <w:spacing w:val="-19"/>
        </w:rPr>
        <w:t> </w:t>
      </w:r>
      <w:r>
        <w:rPr/>
        <w:t>operating</w:t>
      </w:r>
      <w:r>
        <w:rPr>
          <w:spacing w:val="-20"/>
        </w:rPr>
        <w:t> </w:t>
      </w:r>
      <w:r>
        <w:rPr/>
        <w:t>in</w:t>
      </w:r>
      <w:r>
        <w:rPr>
          <w:spacing w:val="-19"/>
        </w:rPr>
        <w:t> </w:t>
      </w:r>
      <w:r>
        <w:rPr/>
        <w:t>the</w:t>
      </w:r>
      <w:r>
        <w:rPr>
          <w:spacing w:val="-18"/>
        </w:rPr>
        <w:t> </w:t>
      </w:r>
      <w:r>
        <w:rPr/>
        <w:t>same</w:t>
      </w:r>
      <w:r>
        <w:rPr>
          <w:spacing w:val="-18"/>
        </w:rPr>
        <w:t> </w:t>
      </w:r>
      <w:r>
        <w:rPr/>
        <w:t>or</w:t>
      </w:r>
      <w:r>
        <w:rPr>
          <w:spacing w:val="-20"/>
        </w:rPr>
        <w:t> </w:t>
      </w:r>
      <w:r>
        <w:rPr/>
        <w:t>similar</w:t>
      </w:r>
      <w:r>
        <w:rPr>
          <w:spacing w:val="-17"/>
        </w:rPr>
        <w:t> </w:t>
      </w:r>
      <w:r>
        <w:rPr/>
        <w:t>industry,</w:t>
      </w:r>
      <w:r>
        <w:rPr>
          <w:spacing w:val="-15"/>
        </w:rPr>
        <w:t> </w:t>
      </w:r>
      <w:r>
        <w:rPr/>
        <w:t>potentially</w:t>
      </w:r>
      <w:r>
        <w:rPr>
          <w:spacing w:val="-18"/>
        </w:rPr>
        <w:t> </w:t>
      </w:r>
      <w:r>
        <w:rPr/>
        <w:t>subject</w:t>
      </w:r>
      <w:r>
        <w:rPr>
          <w:spacing w:val="-15"/>
        </w:rPr>
        <w:t> </w:t>
      </w:r>
      <w:r>
        <w:rPr/>
        <w:t>to</w:t>
      </w:r>
      <w:r>
        <w:rPr>
          <w:spacing w:val="-19"/>
        </w:rPr>
        <w:t> </w:t>
      </w:r>
      <w:r>
        <w:rPr/>
        <w:t>corresponding</w:t>
      </w:r>
      <w:r>
        <w:rPr>
          <w:spacing w:val="-20"/>
        </w:rPr>
        <w:t> </w:t>
      </w:r>
      <w:r>
        <w:rPr/>
        <w:t>market</w:t>
      </w:r>
      <w:r>
        <w:rPr>
          <w:spacing w:val="-19"/>
        </w:rPr>
        <w:t> </w:t>
      </w:r>
      <w:r>
        <w:rPr/>
        <w:t>factors</w:t>
      </w:r>
      <w:r>
        <w:rPr>
          <w:spacing w:val="-19"/>
        </w:rPr>
        <w:t> </w:t>
      </w:r>
      <w:r>
        <w:rPr/>
        <w:t>and</w:t>
      </w:r>
      <w:r>
        <w:rPr>
          <w:spacing w:val="-18"/>
        </w:rPr>
        <w:t> </w:t>
      </w:r>
      <w:r>
        <w:rPr/>
        <w:t>considered</w:t>
      </w:r>
      <w:r>
        <w:rPr>
          <w:spacing w:val="-17"/>
        </w:rPr>
        <w:t> </w:t>
      </w:r>
      <w:r>
        <w:rPr/>
        <w:t>to be reasonable investment alternatives.</w:t>
      </w:r>
    </w:p>
    <w:p>
      <w:pPr>
        <w:pStyle w:val="BodyText"/>
        <w:spacing w:after="0" w:line="247" w:lineRule="auto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BodyText"/>
        <w:spacing w:line="249" w:lineRule="auto" w:before="234"/>
        <w:ind w:left="345"/>
      </w:pPr>
      <w:r>
        <w:rPr/>
        <w:t>The</w:t>
      </w:r>
      <w:r>
        <w:rPr>
          <w:spacing w:val="-4"/>
        </w:rPr>
        <w:t> </w:t>
      </w:r>
      <w:r>
        <w:rPr/>
        <w:t>backsolve</w:t>
      </w:r>
      <w:r>
        <w:rPr>
          <w:spacing w:val="-6"/>
        </w:rPr>
        <w:t> </w:t>
      </w:r>
      <w:r>
        <w:rPr/>
        <w:t>method</w:t>
      </w:r>
      <w:r>
        <w:rPr>
          <w:spacing w:val="-5"/>
        </w:rPr>
        <w:t> </w:t>
      </w:r>
      <w:r>
        <w:rPr/>
        <w:t>is</w:t>
      </w:r>
      <w:r>
        <w:rPr>
          <w:spacing w:val="-9"/>
        </w:rPr>
        <w:t> </w:t>
      </w:r>
      <w:r>
        <w:rPr/>
        <w:t>another</w:t>
      </w:r>
      <w:r>
        <w:rPr>
          <w:spacing w:val="-9"/>
        </w:rPr>
        <w:t> </w:t>
      </w:r>
      <w:r>
        <w:rPr/>
        <w:t>market</w:t>
      </w:r>
      <w:r>
        <w:rPr>
          <w:spacing w:val="-6"/>
        </w:rPr>
        <w:t> </w:t>
      </w:r>
      <w:r>
        <w:rPr/>
        <w:t>approach</w:t>
      </w:r>
      <w:r>
        <w:rPr>
          <w:spacing w:val="-6"/>
        </w:rPr>
        <w:t> </w:t>
      </w:r>
      <w:r>
        <w:rPr/>
        <w:t>wherein</w:t>
      </w:r>
      <w:r>
        <w:rPr>
          <w:spacing w:val="-6"/>
        </w:rPr>
        <w:t> </w:t>
      </w:r>
      <w:r>
        <w:rPr/>
        <w:t>the</w:t>
      </w:r>
      <w:r>
        <w:rPr>
          <w:spacing w:val="-9"/>
        </w:rPr>
        <w:t> </w:t>
      </w:r>
      <w:r>
        <w:rPr/>
        <w:t>equity</w:t>
      </w:r>
      <w:r>
        <w:rPr>
          <w:spacing w:val="-9"/>
        </w:rPr>
        <w:t> </w:t>
      </w:r>
      <w:r>
        <w:rPr/>
        <w:t>value</w:t>
      </w:r>
      <w:r>
        <w:rPr>
          <w:spacing w:val="-3"/>
        </w:rPr>
        <w:t> </w:t>
      </w:r>
      <w:r>
        <w:rPr/>
        <w:t>for</w:t>
      </w:r>
      <w:r>
        <w:rPr>
          <w:spacing w:val="-9"/>
        </w:rPr>
        <w:t> </w:t>
      </w:r>
      <w:r>
        <w:rPr/>
        <w:t>a</w:t>
      </w:r>
      <w:r>
        <w:rPr>
          <w:spacing w:val="-6"/>
        </w:rPr>
        <w:t> </w:t>
      </w:r>
      <w:r>
        <w:rPr/>
        <w:t>privately</w:t>
      </w:r>
      <w:r>
        <w:rPr>
          <w:spacing w:val="-6"/>
        </w:rPr>
        <w:t> </w:t>
      </w:r>
      <w:r>
        <w:rPr/>
        <w:t>held</w:t>
      </w:r>
      <w:r>
        <w:rPr>
          <w:spacing w:val="-8"/>
        </w:rPr>
        <w:t> </w:t>
      </w:r>
      <w:r>
        <w:rPr/>
        <w:t>company</w:t>
      </w:r>
      <w:r>
        <w:rPr>
          <w:spacing w:val="-5"/>
        </w:rPr>
        <w:t> </w:t>
      </w:r>
      <w:r>
        <w:rPr/>
        <w:t>is</w:t>
      </w:r>
      <w:r>
        <w:rPr>
          <w:spacing w:val="-5"/>
        </w:rPr>
        <w:t> </w:t>
      </w:r>
      <w:r>
        <w:rPr/>
        <w:t>derived</w:t>
      </w:r>
      <w:r>
        <w:rPr>
          <w:spacing w:val="-9"/>
        </w:rPr>
        <w:t> </w:t>
      </w:r>
      <w:r>
        <w:rPr/>
        <w:t>from</w:t>
      </w:r>
      <w:r>
        <w:rPr>
          <w:spacing w:val="-5"/>
        </w:rPr>
        <w:t> </w:t>
      </w:r>
      <w:r>
        <w:rPr/>
        <w:t>a recent</w:t>
      </w:r>
      <w:r>
        <w:rPr>
          <w:spacing w:val="-2"/>
        </w:rPr>
        <w:t> </w:t>
      </w:r>
      <w:r>
        <w:rPr/>
        <w:t>transaction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company’s</w:t>
      </w:r>
      <w:r>
        <w:rPr>
          <w:spacing w:val="-4"/>
        </w:rPr>
        <w:t> </w:t>
      </w:r>
      <w:r>
        <w:rPr/>
        <w:t>own</w:t>
      </w:r>
      <w:r>
        <w:rPr>
          <w:spacing w:val="-2"/>
        </w:rPr>
        <w:t> </w:t>
      </w:r>
      <w:r>
        <w:rPr/>
        <w:t>securities.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backsolve</w:t>
      </w:r>
      <w:r>
        <w:rPr>
          <w:spacing w:val="-7"/>
        </w:rPr>
        <w:t> </w:t>
      </w:r>
      <w:r>
        <w:rPr/>
        <w:t>method</w:t>
      </w:r>
      <w:r>
        <w:rPr>
          <w:spacing w:val="-4"/>
        </w:rPr>
        <w:t> </w:t>
      </w:r>
      <w:r>
        <w:rPr/>
        <w:t>requires</w:t>
      </w:r>
      <w:r>
        <w:rPr>
          <w:spacing w:val="-1"/>
        </w:rPr>
        <w:t> </w:t>
      </w:r>
      <w:r>
        <w:rPr/>
        <w:t>considering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rights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preferences of</w:t>
      </w:r>
      <w:r>
        <w:rPr>
          <w:spacing w:val="-7"/>
        </w:rPr>
        <w:t> </w:t>
      </w:r>
      <w:r>
        <w:rPr/>
        <w:t>each</w:t>
      </w:r>
      <w:r>
        <w:rPr>
          <w:spacing w:val="-2"/>
        </w:rPr>
        <w:t> </w:t>
      </w:r>
      <w:r>
        <w:rPr/>
        <w:t>class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equity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solving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4"/>
        </w:rPr>
        <w:t> </w:t>
      </w:r>
      <w:r>
        <w:rPr/>
        <w:t>total</w:t>
      </w:r>
      <w:r>
        <w:rPr>
          <w:spacing w:val="-4"/>
        </w:rPr>
        <w:t> </w:t>
      </w:r>
      <w:r>
        <w:rPr/>
        <w:t>equity</w:t>
      </w:r>
      <w:r>
        <w:rPr>
          <w:spacing w:val="-7"/>
        </w:rPr>
        <w:t> </w:t>
      </w:r>
      <w:r>
        <w:rPr/>
        <w:t>value</w:t>
      </w:r>
      <w:r>
        <w:rPr>
          <w:spacing w:val="-9"/>
        </w:rPr>
        <w:t> </w:t>
      </w:r>
      <w:r>
        <w:rPr/>
        <w:t>that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consistent</w:t>
      </w:r>
      <w:r>
        <w:rPr>
          <w:spacing w:val="-3"/>
        </w:rPr>
        <w:t> </w:t>
      </w:r>
      <w:r>
        <w:rPr/>
        <w:t>with</w:t>
      </w:r>
      <w:r>
        <w:rPr>
          <w:spacing w:val="-9"/>
        </w:rPr>
        <w:t> </w:t>
      </w:r>
      <w:r>
        <w:rPr/>
        <w:t>a</w:t>
      </w:r>
      <w:r>
        <w:rPr>
          <w:spacing w:val="-1"/>
        </w:rPr>
        <w:t> </w:t>
      </w:r>
      <w:r>
        <w:rPr/>
        <w:t>recent</w:t>
      </w:r>
      <w:r>
        <w:rPr>
          <w:spacing w:val="-4"/>
        </w:rPr>
        <w:t> </w:t>
      </w:r>
      <w:r>
        <w:rPr/>
        <w:t>transaction</w:t>
      </w:r>
      <w:r>
        <w:rPr>
          <w:spacing w:val="-10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company’s own</w:t>
      </w:r>
      <w:r>
        <w:rPr>
          <w:spacing w:val="-14"/>
        </w:rPr>
        <w:t> </w:t>
      </w:r>
      <w:r>
        <w:rPr/>
        <w:t>securities,</w:t>
      </w:r>
      <w:r>
        <w:rPr>
          <w:spacing w:val="-13"/>
        </w:rPr>
        <w:t> </w:t>
      </w:r>
      <w:r>
        <w:rPr/>
        <w:t>considering</w:t>
      </w:r>
      <w:r>
        <w:rPr>
          <w:spacing w:val="-12"/>
        </w:rPr>
        <w:t> </w:t>
      </w:r>
      <w:r>
        <w:rPr/>
        <w:t>the</w:t>
      </w:r>
      <w:r>
        <w:rPr>
          <w:spacing w:val="-14"/>
        </w:rPr>
        <w:t> </w:t>
      </w:r>
      <w:r>
        <w:rPr/>
        <w:t>allocation</w:t>
      </w:r>
      <w:r>
        <w:rPr>
          <w:spacing w:val="-17"/>
        </w:rPr>
        <w:t> </w:t>
      </w:r>
      <w:r>
        <w:rPr/>
        <w:t>of</w:t>
      </w:r>
      <w:r>
        <w:rPr>
          <w:spacing w:val="-11"/>
        </w:rPr>
        <w:t> </w:t>
      </w:r>
      <w:r>
        <w:rPr/>
        <w:t>that</w:t>
      </w:r>
      <w:r>
        <w:rPr>
          <w:spacing w:val="-14"/>
        </w:rPr>
        <w:t> </w:t>
      </w:r>
      <w:r>
        <w:rPr/>
        <w:t>total</w:t>
      </w:r>
      <w:r>
        <w:rPr>
          <w:spacing w:val="-12"/>
        </w:rPr>
        <w:t> </w:t>
      </w:r>
      <w:r>
        <w:rPr/>
        <w:t>equity</w:t>
      </w:r>
      <w:r>
        <w:rPr>
          <w:spacing w:val="-14"/>
        </w:rPr>
        <w:t> </w:t>
      </w:r>
      <w:r>
        <w:rPr/>
        <w:t>value</w:t>
      </w:r>
      <w:r>
        <w:rPr>
          <w:spacing w:val="-12"/>
        </w:rPr>
        <w:t> </w:t>
      </w:r>
      <w:r>
        <w:rPr/>
        <w:t>to</w:t>
      </w:r>
      <w:r>
        <w:rPr>
          <w:spacing w:val="-11"/>
        </w:rPr>
        <w:t> </w:t>
      </w:r>
      <w:r>
        <w:rPr/>
        <w:t>the</w:t>
      </w:r>
      <w:r>
        <w:rPr>
          <w:spacing w:val="-16"/>
        </w:rPr>
        <w:t> </w:t>
      </w:r>
      <w:r>
        <w:rPr/>
        <w:t>specific</w:t>
      </w:r>
      <w:r>
        <w:rPr>
          <w:spacing w:val="-12"/>
        </w:rPr>
        <w:t> </w:t>
      </w:r>
      <w:r>
        <w:rPr/>
        <w:t>classes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equity</w:t>
      </w:r>
      <w:r>
        <w:rPr>
          <w:spacing w:val="-12"/>
        </w:rPr>
        <w:t> </w:t>
      </w:r>
      <w:r>
        <w:rPr/>
        <w:t>based</w:t>
      </w:r>
      <w:r>
        <w:rPr>
          <w:spacing w:val="-12"/>
        </w:rPr>
        <w:t> </w:t>
      </w:r>
      <w:r>
        <w:rPr/>
        <w:t>on</w:t>
      </w:r>
      <w:r>
        <w:rPr>
          <w:spacing w:val="-14"/>
        </w:rPr>
        <w:t> </w:t>
      </w:r>
      <w:r>
        <w:rPr/>
        <w:t>their</w:t>
      </w:r>
      <w:r>
        <w:rPr>
          <w:spacing w:val="-15"/>
        </w:rPr>
        <w:t> </w:t>
      </w:r>
      <w:r>
        <w:rPr/>
        <w:t>respective rights</w:t>
      </w:r>
      <w:r>
        <w:rPr>
          <w:spacing w:val="-20"/>
        </w:rPr>
        <w:t> </w:t>
      </w:r>
      <w:r>
        <w:rPr/>
        <w:t>and</w:t>
      </w:r>
      <w:r>
        <w:rPr>
          <w:spacing w:val="-19"/>
        </w:rPr>
        <w:t> </w:t>
      </w:r>
      <w:r>
        <w:rPr/>
        <w:t>preferences.</w:t>
      </w:r>
      <w:r>
        <w:rPr>
          <w:spacing w:val="-19"/>
        </w:rPr>
        <w:t> </w:t>
      </w:r>
      <w:r>
        <w:rPr/>
        <w:t>The</w:t>
      </w:r>
      <w:r>
        <w:rPr>
          <w:spacing w:val="-20"/>
        </w:rPr>
        <w:t> </w:t>
      </w:r>
      <w:r>
        <w:rPr/>
        <w:t>basis</w:t>
      </w:r>
      <w:r>
        <w:rPr>
          <w:spacing w:val="-19"/>
        </w:rPr>
        <w:t> </w:t>
      </w:r>
      <w:r>
        <w:rPr/>
        <w:t>for</w:t>
      </w:r>
      <w:r>
        <w:rPr>
          <w:spacing w:val="-20"/>
        </w:rPr>
        <w:t> </w:t>
      </w:r>
      <w:r>
        <w:rPr/>
        <w:t>application</w:t>
      </w:r>
      <w:r>
        <w:rPr>
          <w:spacing w:val="-19"/>
        </w:rPr>
        <w:t> </w:t>
      </w:r>
      <w:r>
        <w:rPr/>
        <w:t>of</w:t>
      </w:r>
      <w:r>
        <w:rPr>
          <w:spacing w:val="-19"/>
        </w:rPr>
        <w:t> </w:t>
      </w:r>
      <w:r>
        <w:rPr/>
        <w:t>this</w:t>
      </w:r>
      <w:r>
        <w:rPr>
          <w:spacing w:val="-20"/>
        </w:rPr>
        <w:t> </w:t>
      </w:r>
      <w:r>
        <w:rPr/>
        <w:t>method</w:t>
      </w:r>
      <w:r>
        <w:rPr>
          <w:spacing w:val="-19"/>
        </w:rPr>
        <w:t> </w:t>
      </w:r>
      <w:r>
        <w:rPr/>
        <w:t>is</w:t>
      </w:r>
      <w:r>
        <w:rPr>
          <w:spacing w:val="-19"/>
        </w:rPr>
        <w:t> </w:t>
      </w:r>
      <w:r>
        <w:rPr/>
        <w:t>transactions</w:t>
      </w:r>
      <w:r>
        <w:rPr>
          <w:spacing w:val="-20"/>
        </w:rPr>
        <w:t> </w:t>
      </w:r>
      <w:r>
        <w:rPr/>
        <w:t>in</w:t>
      </w:r>
      <w:r>
        <w:rPr>
          <w:spacing w:val="-20"/>
        </w:rPr>
        <w:t> </w:t>
      </w:r>
      <w:r>
        <w:rPr/>
        <w:t>equity</w:t>
      </w:r>
      <w:r>
        <w:rPr>
          <w:spacing w:val="-19"/>
        </w:rPr>
        <w:t> </w:t>
      </w:r>
      <w:r>
        <w:rPr/>
        <w:t>securities</w:t>
      </w:r>
      <w:r>
        <w:rPr>
          <w:spacing w:val="-19"/>
        </w:rPr>
        <w:t> </w:t>
      </w:r>
      <w:r>
        <w:rPr/>
        <w:t>of</w:t>
      </w:r>
      <w:r>
        <w:rPr>
          <w:spacing w:val="-20"/>
        </w:rPr>
        <w:t> </w:t>
      </w:r>
      <w:r>
        <w:rPr/>
        <w:t>the</w:t>
      </w:r>
      <w:r>
        <w:rPr>
          <w:spacing w:val="-19"/>
        </w:rPr>
        <w:t> </w:t>
      </w:r>
      <w:r>
        <w:rPr/>
        <w:t>enterprise</w:t>
      </w:r>
      <w:r>
        <w:rPr>
          <w:spacing w:val="-19"/>
        </w:rPr>
        <w:t> </w:t>
      </w:r>
      <w:r>
        <w:rPr/>
        <w:t>with unrelated</w:t>
      </w:r>
      <w:r>
        <w:rPr>
          <w:spacing w:val="-12"/>
        </w:rPr>
        <w:t> </w:t>
      </w:r>
      <w:r>
        <w:rPr/>
        <w:t>investors</w:t>
      </w:r>
      <w:r>
        <w:rPr>
          <w:spacing w:val="-16"/>
        </w:rPr>
        <w:t> </w:t>
      </w:r>
      <w:r>
        <w:rPr/>
        <w:t>or</w:t>
      </w:r>
      <w:r>
        <w:rPr>
          <w:spacing w:val="-19"/>
        </w:rPr>
        <w:t> </w:t>
      </w:r>
      <w:r>
        <w:rPr/>
        <w:t>among</w:t>
      </w:r>
      <w:r>
        <w:rPr>
          <w:spacing w:val="-16"/>
        </w:rPr>
        <w:t> </w:t>
      </w:r>
      <w:r>
        <w:rPr/>
        <w:t>unrelated</w:t>
      </w:r>
      <w:r>
        <w:rPr>
          <w:spacing w:val="-14"/>
        </w:rPr>
        <w:t> </w:t>
      </w:r>
      <w:r>
        <w:rPr/>
        <w:t>investors</w:t>
      </w:r>
      <w:r>
        <w:rPr>
          <w:spacing w:val="-18"/>
        </w:rPr>
        <w:t> </w:t>
      </w:r>
      <w:r>
        <w:rPr/>
        <w:t>themselves.</w:t>
      </w:r>
    </w:p>
    <w:p>
      <w:pPr>
        <w:pStyle w:val="BodyText"/>
        <w:spacing w:before="228"/>
      </w:pPr>
    </w:p>
    <w:p>
      <w:pPr>
        <w:pStyle w:val="Heading2"/>
      </w:pPr>
      <w:r>
        <w:rPr/>
        <w:t>Cost</w:t>
      </w:r>
      <w:r>
        <w:rPr>
          <w:spacing w:val="-6"/>
        </w:rPr>
        <w:t> </w:t>
      </w:r>
      <w:r>
        <w:rPr>
          <w:spacing w:val="-2"/>
        </w:rPr>
        <w:t>Approach</w:t>
      </w:r>
    </w:p>
    <w:p>
      <w:pPr>
        <w:pStyle w:val="BodyText"/>
        <w:spacing w:before="19"/>
        <w:rPr>
          <w:rFonts w:ascii="Tahoma"/>
          <w:b/>
        </w:rPr>
      </w:pPr>
    </w:p>
    <w:p>
      <w:pPr>
        <w:pStyle w:val="BodyText"/>
        <w:spacing w:line="247" w:lineRule="auto" w:before="1"/>
        <w:ind w:left="345" w:right="148"/>
      </w:pPr>
      <w:r>
        <w:rPr/>
        <w:t>The</w:t>
      </w:r>
      <w:r>
        <w:rPr>
          <w:spacing w:val="-11"/>
        </w:rPr>
        <w:t> </w:t>
      </w:r>
      <w:r>
        <w:rPr/>
        <w:t>cost</w:t>
      </w:r>
      <w:r>
        <w:rPr>
          <w:spacing w:val="-13"/>
        </w:rPr>
        <w:t> </w:t>
      </w:r>
      <w:r>
        <w:rPr/>
        <w:t>approach</w:t>
      </w:r>
      <w:r>
        <w:rPr>
          <w:spacing w:val="-15"/>
        </w:rPr>
        <w:t> </w:t>
      </w:r>
      <w:r>
        <w:rPr/>
        <w:t>measures</w:t>
      </w:r>
      <w:r>
        <w:rPr>
          <w:spacing w:val="-13"/>
        </w:rPr>
        <w:t> </w:t>
      </w:r>
      <w:r>
        <w:rPr/>
        <w:t>the</w:t>
      </w:r>
      <w:r>
        <w:rPr>
          <w:spacing w:val="-15"/>
        </w:rPr>
        <w:t> </w:t>
      </w:r>
      <w:r>
        <w:rPr/>
        <w:t>value</w:t>
      </w:r>
      <w:r>
        <w:rPr>
          <w:spacing w:val="-15"/>
        </w:rPr>
        <w:t> </w:t>
      </w:r>
      <w:r>
        <w:rPr/>
        <w:t>of</w:t>
      </w:r>
      <w:r>
        <w:rPr>
          <w:spacing w:val="-13"/>
        </w:rPr>
        <w:t> </w:t>
      </w:r>
      <w:r>
        <w:rPr/>
        <w:t>an</w:t>
      </w:r>
      <w:r>
        <w:rPr>
          <w:spacing w:val="-15"/>
        </w:rPr>
        <w:t> </w:t>
      </w:r>
      <w:r>
        <w:rPr/>
        <w:t>asset</w:t>
      </w:r>
      <w:r>
        <w:rPr>
          <w:spacing w:val="-13"/>
        </w:rPr>
        <w:t> </w:t>
      </w:r>
      <w:r>
        <w:rPr/>
        <w:t>by</w:t>
      </w:r>
      <w:r>
        <w:rPr>
          <w:spacing w:val="-13"/>
        </w:rPr>
        <w:t> </w:t>
      </w:r>
      <w:r>
        <w:rPr/>
        <w:t>the</w:t>
      </w:r>
      <w:r>
        <w:rPr>
          <w:spacing w:val="-11"/>
        </w:rPr>
        <w:t> </w:t>
      </w:r>
      <w:r>
        <w:rPr/>
        <w:t>cost</w:t>
      </w:r>
      <w:r>
        <w:rPr>
          <w:spacing w:val="-15"/>
        </w:rPr>
        <w:t> </w:t>
      </w:r>
      <w:r>
        <w:rPr/>
        <w:t>to</w:t>
      </w:r>
      <w:r>
        <w:rPr>
          <w:spacing w:val="-13"/>
        </w:rPr>
        <w:t> </w:t>
      </w:r>
      <w:r>
        <w:rPr/>
        <w:t>reconstruct</w:t>
      </w:r>
      <w:r>
        <w:rPr>
          <w:spacing w:val="-18"/>
        </w:rPr>
        <w:t> </w:t>
      </w:r>
      <w:r>
        <w:rPr/>
        <w:t>or</w:t>
      </w:r>
      <w:r>
        <w:rPr>
          <w:spacing w:val="-13"/>
        </w:rPr>
        <w:t> </w:t>
      </w:r>
      <w:r>
        <w:rPr/>
        <w:t>replace</w:t>
      </w:r>
      <w:r>
        <w:rPr>
          <w:spacing w:val="-13"/>
        </w:rPr>
        <w:t> </w:t>
      </w:r>
      <w:r>
        <w:rPr/>
        <w:t>it</w:t>
      </w:r>
      <w:r>
        <w:rPr>
          <w:spacing w:val="-13"/>
        </w:rPr>
        <w:t> </w:t>
      </w:r>
      <w:r>
        <w:rPr/>
        <w:t>with</w:t>
      </w:r>
      <w:r>
        <w:rPr>
          <w:spacing w:val="-13"/>
        </w:rPr>
        <w:t> </w:t>
      </w:r>
      <w:r>
        <w:rPr/>
        <w:t>another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like</w:t>
      </w:r>
      <w:r>
        <w:rPr>
          <w:spacing w:val="-13"/>
        </w:rPr>
        <w:t> </w:t>
      </w:r>
      <w:r>
        <w:rPr/>
        <w:t>utility.</w:t>
      </w:r>
      <w:r>
        <w:rPr>
          <w:spacing w:val="-12"/>
        </w:rPr>
        <w:t> </w:t>
      </w:r>
      <w:r>
        <w:rPr/>
        <w:t>When applied</w:t>
      </w:r>
      <w:r>
        <w:rPr>
          <w:spacing w:val="-14"/>
        </w:rPr>
        <w:t> </w:t>
      </w:r>
      <w:r>
        <w:rPr/>
        <w:t>to</w:t>
      </w:r>
      <w:r>
        <w:rPr>
          <w:spacing w:val="-9"/>
        </w:rPr>
        <w:t> </w:t>
      </w:r>
      <w:r>
        <w:rPr/>
        <w:t>the</w:t>
      </w:r>
      <w:r>
        <w:rPr>
          <w:spacing w:val="-17"/>
        </w:rPr>
        <w:t> </w:t>
      </w:r>
      <w:r>
        <w:rPr/>
        <w:t>valuation</w:t>
      </w:r>
      <w:r>
        <w:rPr>
          <w:spacing w:val="-10"/>
        </w:rPr>
        <w:t> </w:t>
      </w:r>
      <w:r>
        <w:rPr/>
        <w:t>of</w:t>
      </w:r>
      <w:r>
        <w:rPr>
          <w:spacing w:val="-15"/>
        </w:rPr>
        <w:t> </w:t>
      </w:r>
      <w:r>
        <w:rPr/>
        <w:t>businesses,</w:t>
      </w:r>
      <w:r>
        <w:rPr>
          <w:spacing w:val="-13"/>
        </w:rPr>
        <w:t> </w:t>
      </w:r>
      <w:r>
        <w:rPr/>
        <w:t>value</w:t>
      </w:r>
      <w:r>
        <w:rPr>
          <w:spacing w:val="-13"/>
        </w:rPr>
        <w:t> </w:t>
      </w:r>
      <w:r>
        <w:rPr/>
        <w:t>is</w:t>
      </w:r>
      <w:r>
        <w:rPr>
          <w:spacing w:val="-13"/>
        </w:rPr>
        <w:t> </w:t>
      </w:r>
      <w:r>
        <w:rPr/>
        <w:t>based</w:t>
      </w:r>
      <w:r>
        <w:rPr>
          <w:spacing w:val="-16"/>
        </w:rPr>
        <w:t> </w:t>
      </w:r>
      <w:r>
        <w:rPr/>
        <w:t>on</w:t>
      </w:r>
      <w:r>
        <w:rPr>
          <w:spacing w:val="-10"/>
        </w:rPr>
        <w:t> </w:t>
      </w:r>
      <w:r>
        <w:rPr/>
        <w:t>the</w:t>
      </w:r>
      <w:r>
        <w:rPr>
          <w:spacing w:val="-15"/>
        </w:rPr>
        <w:t> </w:t>
      </w:r>
      <w:r>
        <w:rPr/>
        <w:t>net</w:t>
      </w:r>
      <w:r>
        <w:rPr>
          <w:spacing w:val="-13"/>
        </w:rPr>
        <w:t> </w:t>
      </w:r>
      <w:r>
        <w:rPr/>
        <w:t>aggregate</w:t>
      </w:r>
      <w:r>
        <w:rPr>
          <w:spacing w:val="-10"/>
        </w:rPr>
        <w:t> </w:t>
      </w:r>
      <w:r>
        <w:rPr/>
        <w:t>market</w:t>
      </w:r>
      <w:r>
        <w:rPr>
          <w:spacing w:val="-13"/>
        </w:rPr>
        <w:t> </w:t>
      </w:r>
      <w:r>
        <w:rPr/>
        <w:t>value</w:t>
      </w:r>
      <w:r>
        <w:rPr>
          <w:spacing w:val="-13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3"/>
        </w:rPr>
        <w:t> </w:t>
      </w:r>
      <w:r>
        <w:rPr/>
        <w:t>entity's</w:t>
      </w:r>
      <w:r>
        <w:rPr>
          <w:spacing w:val="-14"/>
        </w:rPr>
        <w:t> </w:t>
      </w:r>
      <w:r>
        <w:rPr/>
        <w:t>underlying</w:t>
      </w:r>
      <w:r>
        <w:rPr>
          <w:spacing w:val="-13"/>
        </w:rPr>
        <w:t> </w:t>
      </w:r>
      <w:r>
        <w:rPr/>
        <w:t>assets.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spacing w:val="-2"/>
        </w:rPr>
        <w:t>technique</w:t>
      </w:r>
      <w:r>
        <w:rPr>
          <w:spacing w:val="-15"/>
        </w:rPr>
        <w:t> </w:t>
      </w:r>
      <w:r>
        <w:rPr>
          <w:spacing w:val="-2"/>
        </w:rPr>
        <w:t>entails</w:t>
      </w:r>
      <w:r>
        <w:rPr>
          <w:spacing w:val="-15"/>
        </w:rPr>
        <w:t> </w:t>
      </w:r>
      <w:r>
        <w:rPr>
          <w:spacing w:val="-2"/>
        </w:rPr>
        <w:t>a</w:t>
      </w:r>
      <w:r>
        <w:rPr>
          <w:spacing w:val="-15"/>
        </w:rPr>
        <w:t> </w:t>
      </w:r>
      <w:r>
        <w:rPr>
          <w:spacing w:val="-2"/>
        </w:rPr>
        <w:t>restatement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entity's</w:t>
      </w:r>
      <w:r>
        <w:rPr>
          <w:spacing w:val="-17"/>
        </w:rPr>
        <w:t> </w:t>
      </w:r>
      <w:r>
        <w:rPr>
          <w:spacing w:val="-2"/>
        </w:rPr>
        <w:t>balance</w:t>
      </w:r>
      <w:r>
        <w:rPr>
          <w:spacing w:val="-13"/>
        </w:rPr>
        <w:t> </w:t>
      </w:r>
      <w:r>
        <w:rPr>
          <w:spacing w:val="-2"/>
        </w:rPr>
        <w:t>sheet</w:t>
      </w:r>
      <w:r>
        <w:rPr>
          <w:spacing w:val="-15"/>
        </w:rPr>
        <w:t> </w:t>
      </w:r>
      <w:r>
        <w:rPr>
          <w:spacing w:val="-2"/>
        </w:rPr>
        <w:t>by</w:t>
      </w:r>
      <w:r>
        <w:rPr>
          <w:spacing w:val="-15"/>
        </w:rPr>
        <w:t> </w:t>
      </w:r>
      <w:r>
        <w:rPr>
          <w:spacing w:val="-2"/>
        </w:rPr>
        <w:t>substituting</w:t>
      </w:r>
      <w:r>
        <w:rPr>
          <w:spacing w:val="-12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market</w:t>
      </w:r>
      <w:r>
        <w:rPr>
          <w:spacing w:val="-15"/>
        </w:rPr>
        <w:t> </w:t>
      </w:r>
      <w:r>
        <w:rPr>
          <w:spacing w:val="-2"/>
        </w:rPr>
        <w:t>value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5"/>
        </w:rPr>
        <w:t> </w:t>
      </w:r>
      <w:r>
        <w:rPr>
          <w:spacing w:val="-2"/>
        </w:rPr>
        <w:t>its</w:t>
      </w:r>
      <w:r>
        <w:rPr>
          <w:spacing w:val="-17"/>
        </w:rPr>
        <w:t> </w:t>
      </w:r>
      <w:r>
        <w:rPr>
          <w:spacing w:val="-2"/>
        </w:rPr>
        <w:t>assets</w:t>
      </w:r>
      <w:r>
        <w:rPr>
          <w:spacing w:val="-15"/>
        </w:rPr>
        <w:t> </w:t>
      </w:r>
      <w:r>
        <w:rPr>
          <w:spacing w:val="-2"/>
        </w:rPr>
        <w:t>and</w:t>
      </w:r>
      <w:r>
        <w:rPr>
          <w:spacing w:val="-16"/>
        </w:rPr>
        <w:t> </w:t>
      </w:r>
      <w:r>
        <w:rPr>
          <w:spacing w:val="-2"/>
        </w:rPr>
        <w:t>liabilities </w:t>
      </w:r>
      <w:r>
        <w:rPr>
          <w:spacing w:val="-4"/>
        </w:rPr>
        <w:t>for</w:t>
      </w:r>
      <w:r>
        <w:rPr>
          <w:spacing w:val="-11"/>
        </w:rPr>
        <w:t> </w:t>
      </w:r>
      <w:r>
        <w:rPr>
          <w:spacing w:val="-4"/>
        </w:rPr>
        <w:t>their</w:t>
      </w:r>
      <w:r>
        <w:rPr>
          <w:spacing w:val="-11"/>
        </w:rPr>
        <w:t> </w:t>
      </w:r>
      <w:r>
        <w:rPr>
          <w:spacing w:val="-4"/>
        </w:rPr>
        <w:t>book</w:t>
      </w:r>
      <w:r>
        <w:rPr>
          <w:spacing w:val="-12"/>
        </w:rPr>
        <w:t> </w:t>
      </w:r>
      <w:r>
        <w:rPr>
          <w:spacing w:val="-4"/>
        </w:rPr>
        <w:t>values.</w:t>
      </w:r>
      <w:r>
        <w:rPr>
          <w:spacing w:val="-11"/>
        </w:rPr>
        <w:t> </w:t>
      </w:r>
      <w:r>
        <w:rPr>
          <w:spacing w:val="-4"/>
        </w:rPr>
        <w:t>The</w:t>
      </w:r>
      <w:r>
        <w:rPr>
          <w:spacing w:val="-9"/>
        </w:rPr>
        <w:t> </w:t>
      </w:r>
      <w:r>
        <w:rPr>
          <w:spacing w:val="-4"/>
        </w:rPr>
        <w:t>resulting</w:t>
      </w:r>
      <w:r>
        <w:rPr>
          <w:spacing w:val="-9"/>
        </w:rPr>
        <w:t> </w:t>
      </w:r>
      <w:r>
        <w:rPr>
          <w:spacing w:val="-4"/>
        </w:rPr>
        <w:t>equity</w:t>
      </w:r>
      <w:r>
        <w:rPr>
          <w:spacing w:val="-11"/>
        </w:rPr>
        <w:t> </w:t>
      </w:r>
      <w:r>
        <w:rPr>
          <w:spacing w:val="-4"/>
        </w:rPr>
        <w:t>value</w:t>
      </w:r>
      <w:r>
        <w:rPr>
          <w:spacing w:val="-7"/>
        </w:rPr>
        <w:t> </w:t>
      </w:r>
      <w:r>
        <w:rPr>
          <w:spacing w:val="-4"/>
        </w:rPr>
        <w:t>is</w:t>
      </w:r>
      <w:r>
        <w:rPr>
          <w:spacing w:val="-8"/>
        </w:rPr>
        <w:t> </w:t>
      </w:r>
      <w:r>
        <w:rPr>
          <w:spacing w:val="-4"/>
        </w:rPr>
        <w:t>reflective</w:t>
      </w:r>
      <w:r>
        <w:rPr>
          <w:spacing w:val="-11"/>
        </w:rPr>
        <w:t> </w:t>
      </w:r>
      <w:r>
        <w:rPr>
          <w:spacing w:val="-4"/>
        </w:rPr>
        <w:t>of</w:t>
      </w:r>
      <w:r>
        <w:rPr>
          <w:spacing w:val="-9"/>
        </w:rPr>
        <w:t> </w:t>
      </w:r>
      <w:r>
        <w:rPr>
          <w:spacing w:val="-4"/>
        </w:rPr>
        <w:t>a</w:t>
      </w:r>
      <w:r>
        <w:rPr>
          <w:spacing w:val="-9"/>
        </w:rPr>
        <w:t> </w:t>
      </w:r>
      <w:r>
        <w:rPr>
          <w:spacing w:val="-4"/>
        </w:rPr>
        <w:t>100%</w:t>
      </w:r>
      <w:r>
        <w:rPr>
          <w:spacing w:val="-10"/>
        </w:rPr>
        <w:t> </w:t>
      </w:r>
      <w:r>
        <w:rPr>
          <w:spacing w:val="-4"/>
        </w:rPr>
        <w:t>ownership</w:t>
      </w:r>
      <w:r>
        <w:rPr>
          <w:spacing w:val="-9"/>
        </w:rPr>
        <w:t> </w:t>
      </w:r>
      <w:r>
        <w:rPr>
          <w:spacing w:val="-4"/>
        </w:rPr>
        <w:t>interest</w:t>
      </w:r>
      <w:r>
        <w:rPr>
          <w:spacing w:val="-6"/>
        </w:rPr>
        <w:t> </w:t>
      </w:r>
      <w:r>
        <w:rPr>
          <w:spacing w:val="-4"/>
        </w:rPr>
        <w:t>in</w:t>
      </w:r>
      <w:r>
        <w:rPr>
          <w:spacing w:val="-9"/>
        </w:rPr>
        <w:t> </w:t>
      </w:r>
      <w:r>
        <w:rPr>
          <w:spacing w:val="-4"/>
        </w:rPr>
        <w:t>the</w:t>
      </w:r>
      <w:r>
        <w:rPr>
          <w:spacing w:val="-9"/>
        </w:rPr>
        <w:t> </w:t>
      </w:r>
      <w:r>
        <w:rPr>
          <w:spacing w:val="-4"/>
        </w:rPr>
        <w:t>business.</w:t>
      </w:r>
      <w:r>
        <w:rPr>
          <w:spacing w:val="-10"/>
        </w:rPr>
        <w:t> </w:t>
      </w:r>
      <w:r>
        <w:rPr>
          <w:spacing w:val="-4"/>
        </w:rPr>
        <w:t>This</w:t>
      </w:r>
      <w:r>
        <w:rPr>
          <w:spacing w:val="-11"/>
        </w:rPr>
        <w:t> </w:t>
      </w:r>
      <w:r>
        <w:rPr>
          <w:spacing w:val="-4"/>
        </w:rPr>
        <w:t>approach</w:t>
      </w:r>
      <w:r>
        <w:rPr>
          <w:spacing w:val="-11"/>
        </w:rPr>
        <w:t> </w:t>
      </w:r>
      <w:r>
        <w:rPr>
          <w:spacing w:val="-4"/>
        </w:rPr>
        <w:t>is </w:t>
      </w:r>
      <w:r>
        <w:rPr/>
        <w:t>frequently</w:t>
      </w:r>
      <w:r>
        <w:rPr>
          <w:spacing w:val="-14"/>
        </w:rPr>
        <w:t> </w:t>
      </w:r>
      <w:r>
        <w:rPr/>
        <w:t>used</w:t>
      </w:r>
      <w:r>
        <w:rPr>
          <w:spacing w:val="-14"/>
        </w:rPr>
        <w:t> </w:t>
      </w:r>
      <w:r>
        <w:rPr/>
        <w:t>in</w:t>
      </w:r>
      <w:r>
        <w:rPr>
          <w:spacing w:val="-20"/>
        </w:rPr>
        <w:t> </w:t>
      </w:r>
      <w:r>
        <w:rPr/>
        <w:t>valuing</w:t>
      </w:r>
      <w:r>
        <w:rPr>
          <w:spacing w:val="-15"/>
        </w:rPr>
        <w:t> </w:t>
      </w:r>
      <w:r>
        <w:rPr/>
        <w:t>holding</w:t>
      </w:r>
      <w:r>
        <w:rPr>
          <w:spacing w:val="-15"/>
        </w:rPr>
        <w:t> </w:t>
      </w:r>
      <w:r>
        <w:rPr/>
        <w:t>companies</w:t>
      </w:r>
      <w:r>
        <w:rPr>
          <w:spacing w:val="-15"/>
        </w:rPr>
        <w:t> </w:t>
      </w:r>
      <w:r>
        <w:rPr/>
        <w:t>or</w:t>
      </w:r>
      <w:r>
        <w:rPr>
          <w:spacing w:val="-17"/>
        </w:rPr>
        <w:t> </w:t>
      </w:r>
      <w:r>
        <w:rPr/>
        <w:t>capital-intensive</w:t>
      </w:r>
      <w:r>
        <w:rPr>
          <w:spacing w:val="-15"/>
        </w:rPr>
        <w:t> </w:t>
      </w:r>
      <w:r>
        <w:rPr/>
        <w:t>firms.</w:t>
      </w:r>
      <w:r>
        <w:rPr>
          <w:spacing w:val="-15"/>
        </w:rPr>
        <w:t> </w:t>
      </w:r>
      <w:r>
        <w:rPr/>
        <w:t>It</w:t>
      </w:r>
      <w:r>
        <w:rPr>
          <w:spacing w:val="-12"/>
        </w:rPr>
        <w:t> </w:t>
      </w:r>
      <w:r>
        <w:rPr/>
        <w:t>is</w:t>
      </w:r>
      <w:r>
        <w:rPr>
          <w:spacing w:val="-16"/>
        </w:rPr>
        <w:t> </w:t>
      </w:r>
      <w:r>
        <w:rPr/>
        <w:t>not</w:t>
      </w:r>
      <w:r>
        <w:rPr>
          <w:spacing w:val="-19"/>
        </w:rPr>
        <w:t> </w:t>
      </w:r>
      <w:r>
        <w:rPr/>
        <w:t>necessarily</w:t>
      </w:r>
      <w:r>
        <w:rPr>
          <w:spacing w:val="-15"/>
        </w:rPr>
        <w:t> </w:t>
      </w:r>
      <w:r>
        <w:rPr/>
        <w:t>an</w:t>
      </w:r>
      <w:r>
        <w:rPr>
          <w:spacing w:val="-15"/>
        </w:rPr>
        <w:t> </w:t>
      </w:r>
      <w:r>
        <w:rPr/>
        <w:t>appropriate</w:t>
      </w:r>
      <w:r>
        <w:rPr>
          <w:spacing w:val="-15"/>
        </w:rPr>
        <w:t> </w:t>
      </w:r>
      <w:r>
        <w:rPr/>
        <w:t>valuation approach for companies providing goods or services or having significant intangible value.</w:t>
      </w:r>
    </w:p>
    <w:p>
      <w:pPr>
        <w:pStyle w:val="BodyText"/>
        <w:spacing w:before="20"/>
      </w:pPr>
    </w:p>
    <w:p>
      <w:pPr>
        <w:spacing w:before="0"/>
        <w:ind w:left="345" w:right="0" w:firstLine="0"/>
        <w:jc w:val="left"/>
        <w:rPr>
          <w:rFonts w:ascii="Tahoma"/>
          <w:b/>
          <w:sz w:val="22"/>
        </w:rPr>
      </w:pPr>
      <w:r>
        <w:rPr>
          <w:rFonts w:ascii="Tahoma"/>
          <w:b/>
          <w:sz w:val="22"/>
          <w:u w:val="single"/>
        </w:rPr>
        <w:t>Our</w:t>
      </w:r>
      <w:r>
        <w:rPr>
          <w:rFonts w:ascii="Tahoma"/>
          <w:b/>
          <w:spacing w:val="-14"/>
          <w:sz w:val="22"/>
          <w:u w:val="single"/>
        </w:rPr>
        <w:t> </w:t>
      </w:r>
      <w:r>
        <w:rPr>
          <w:rFonts w:ascii="Tahoma"/>
          <w:b/>
          <w:spacing w:val="-2"/>
          <w:sz w:val="22"/>
          <w:u w:val="single"/>
        </w:rPr>
        <w:t>Approach</w:t>
      </w:r>
    </w:p>
    <w:p>
      <w:pPr>
        <w:pStyle w:val="BodyText"/>
        <w:spacing w:line="249" w:lineRule="auto" w:before="233"/>
        <w:ind w:left="345" w:right="76"/>
      </w:pPr>
      <w:r>
        <w:rPr/>
        <w:t>In this instance, given</w:t>
      </w:r>
      <w:r>
        <w:rPr>
          <w:spacing w:val="-3"/>
        </w:rPr>
        <w:t> </w:t>
      </w:r>
      <w:r>
        <w:rPr/>
        <w:t>the early stage</w:t>
      </w:r>
      <w:r>
        <w:rPr>
          <w:spacing w:val="-3"/>
        </w:rPr>
        <w:t> </w:t>
      </w:r>
      <w:r>
        <w:rPr/>
        <w:t>of the</w:t>
      </w:r>
      <w:r>
        <w:rPr>
          <w:spacing w:val="-3"/>
        </w:rPr>
        <w:t> </w:t>
      </w:r>
      <w:r>
        <w:rPr/>
        <w:t>Project, we</w:t>
      </w:r>
      <w:r>
        <w:rPr>
          <w:spacing w:val="-7"/>
        </w:rPr>
        <w:t> </w:t>
      </w:r>
      <w:r>
        <w:rPr/>
        <w:t>have adopted</w:t>
      </w:r>
      <w:r>
        <w:rPr>
          <w:spacing w:val="-2"/>
        </w:rPr>
        <w:t> </w:t>
      </w:r>
      <w:r>
        <w:rPr/>
        <w:t>an income-based approach</w:t>
      </w:r>
      <w:r>
        <w:rPr>
          <w:spacing w:val="-3"/>
        </w:rPr>
        <w:t> </w:t>
      </w:r>
      <w:r>
        <w:rPr/>
        <w:t>by applying</w:t>
      </w:r>
      <w:r>
        <w:rPr>
          <w:spacing w:val="-3"/>
        </w:rPr>
        <w:t> </w:t>
      </w:r>
      <w:r>
        <w:rPr/>
        <w:t>a discount to future cashflows expected.</w:t>
      </w:r>
    </w:p>
    <w:p>
      <w:pPr>
        <w:pStyle w:val="BodyText"/>
        <w:spacing w:after="0" w:line="249" w:lineRule="auto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4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spacing w:val="-8"/>
        </w:rPr>
        <w:t>VALUATION</w:t>
      </w:r>
      <w:r>
        <w:rPr>
          <w:spacing w:val="-2"/>
        </w:rPr>
        <w:t> ASSUMPTIONS</w:t>
      </w:r>
    </w:p>
    <w:p>
      <w:pPr>
        <w:pStyle w:val="Heading2"/>
        <w:spacing w:before="181"/>
      </w:pPr>
      <w:r>
        <w:rPr>
          <w:spacing w:val="-2"/>
        </w:rPr>
        <w:t>Cashflows</w:t>
      </w:r>
    </w:p>
    <w:p>
      <w:pPr>
        <w:pStyle w:val="BodyText"/>
        <w:spacing w:before="235"/>
        <w:ind w:left="345"/>
      </w:pPr>
      <w:r>
        <w:rPr/>
        <w:t>As</w:t>
      </w:r>
      <w:r>
        <w:rPr>
          <w:spacing w:val="-9"/>
        </w:rPr>
        <w:t> </w:t>
      </w:r>
      <w:r>
        <w:rPr/>
        <w:t>per</w:t>
      </w:r>
      <w:r>
        <w:rPr>
          <w:spacing w:val="-9"/>
        </w:rPr>
        <w:t> </w:t>
      </w:r>
      <w:r>
        <w:rPr/>
        <w:t>Section</w:t>
      </w:r>
      <w:r>
        <w:rPr>
          <w:spacing w:val="-9"/>
        </w:rPr>
        <w:t> </w:t>
      </w:r>
      <w:r>
        <w:rPr/>
        <w:t>4,</w:t>
      </w:r>
      <w:r>
        <w:rPr>
          <w:spacing w:val="-8"/>
        </w:rPr>
        <w:t> </w:t>
      </w:r>
      <w:r>
        <w:rPr/>
        <w:t>we</w:t>
      </w:r>
      <w:r>
        <w:rPr>
          <w:spacing w:val="-13"/>
        </w:rPr>
        <w:t> </w:t>
      </w:r>
      <w:r>
        <w:rPr/>
        <w:t>have</w:t>
      </w:r>
      <w:r>
        <w:rPr>
          <w:spacing w:val="-10"/>
        </w:rPr>
        <w:t> </w:t>
      </w:r>
      <w:r>
        <w:rPr/>
        <w:t>been</w:t>
      </w:r>
      <w:r>
        <w:rPr>
          <w:spacing w:val="-9"/>
        </w:rPr>
        <w:t> </w:t>
      </w:r>
      <w:r>
        <w:rPr/>
        <w:t>provided</w:t>
      </w:r>
      <w:r>
        <w:rPr>
          <w:spacing w:val="-11"/>
        </w:rPr>
        <w:t> </w:t>
      </w:r>
      <w:r>
        <w:rPr/>
        <w:t>with</w:t>
      </w:r>
      <w:r>
        <w:rPr>
          <w:spacing w:val="-6"/>
        </w:rPr>
        <w:t> </w:t>
      </w:r>
      <w:r>
        <w:rPr/>
        <w:t>management</w:t>
      </w:r>
      <w:r>
        <w:rPr>
          <w:spacing w:val="-9"/>
        </w:rPr>
        <w:t> </w:t>
      </w:r>
      <w:r>
        <w:rPr/>
        <w:t>cashflows</w:t>
      </w:r>
      <w:r>
        <w:rPr>
          <w:spacing w:val="-9"/>
        </w:rPr>
        <w:t> </w:t>
      </w:r>
      <w:r>
        <w:rPr/>
        <w:t>for</w:t>
      </w:r>
      <w:r>
        <w:rPr>
          <w:spacing w:val="-12"/>
        </w:rPr>
        <w:t> </w:t>
      </w:r>
      <w:r>
        <w:rPr/>
        <w:t>10</w:t>
      </w:r>
      <w:r>
        <w:rPr>
          <w:spacing w:val="-11"/>
        </w:rPr>
        <w:t> </w:t>
      </w:r>
      <w:r>
        <w:rPr/>
        <w:t>years</w:t>
      </w:r>
      <w:r>
        <w:rPr>
          <w:spacing w:val="-11"/>
        </w:rPr>
        <w:t> </w:t>
      </w:r>
      <w:r>
        <w:rPr/>
        <w:t>(up</w:t>
      </w:r>
      <w:r>
        <w:rPr>
          <w:spacing w:val="-10"/>
        </w:rPr>
        <w:t> </w:t>
      </w:r>
      <w:r>
        <w:rPr/>
        <w:t>to</w:t>
      </w:r>
      <w:r>
        <w:rPr>
          <w:spacing w:val="-4"/>
        </w:rPr>
        <w:t> </w:t>
      </w:r>
      <w:r>
        <w:rPr/>
        <w:t>December</w:t>
      </w:r>
      <w:r>
        <w:rPr>
          <w:spacing w:val="-10"/>
        </w:rPr>
        <w:t> </w:t>
      </w:r>
      <w:r>
        <w:rPr>
          <w:spacing w:val="-2"/>
        </w:rPr>
        <w:t>2034).</w:t>
      </w:r>
    </w:p>
    <w:p>
      <w:pPr>
        <w:pStyle w:val="BodyText"/>
        <w:spacing w:line="247" w:lineRule="auto" w:before="237"/>
        <w:ind w:left="345"/>
      </w:pPr>
      <w:r>
        <w:rPr/>
        <w:t>We</w:t>
      </w:r>
      <w:r>
        <w:rPr>
          <w:spacing w:val="-9"/>
        </w:rPr>
        <w:t> </w:t>
      </w:r>
      <w:r>
        <w:rPr/>
        <w:t>understand</w:t>
      </w:r>
      <w:r>
        <w:rPr>
          <w:spacing w:val="-9"/>
        </w:rPr>
        <w:t> </w:t>
      </w:r>
      <w:r>
        <w:rPr/>
        <w:t>from</w:t>
      </w:r>
      <w:r>
        <w:rPr>
          <w:spacing w:val="-12"/>
        </w:rPr>
        <w:t> </w:t>
      </w:r>
      <w:r>
        <w:rPr/>
        <w:t>Management</w:t>
      </w:r>
      <w:r>
        <w:rPr>
          <w:spacing w:val="-7"/>
        </w:rPr>
        <w:t> </w:t>
      </w:r>
      <w:r>
        <w:rPr/>
        <w:t>that</w:t>
      </w:r>
      <w:r>
        <w:rPr>
          <w:spacing w:val="-6"/>
        </w:rPr>
        <w:t> </w:t>
      </w:r>
      <w:r>
        <w:rPr/>
        <w:t>no</w:t>
      </w:r>
      <w:r>
        <w:rPr>
          <w:spacing w:val="-6"/>
        </w:rPr>
        <w:t> </w:t>
      </w:r>
      <w:r>
        <w:rPr/>
        <w:t>tax</w:t>
      </w:r>
      <w:r>
        <w:rPr>
          <w:spacing w:val="-7"/>
        </w:rPr>
        <w:t> </w:t>
      </w:r>
      <w:r>
        <w:rPr/>
        <w:t>corporation</w:t>
      </w:r>
      <w:r>
        <w:rPr>
          <w:spacing w:val="-9"/>
        </w:rPr>
        <w:t> </w:t>
      </w:r>
      <w:r>
        <w:rPr/>
        <w:t>tax</w:t>
      </w:r>
      <w:r>
        <w:rPr>
          <w:spacing w:val="-7"/>
        </w:rPr>
        <w:t> </w:t>
      </w:r>
      <w:r>
        <w:rPr/>
        <w:t>is</w:t>
      </w:r>
      <w:r>
        <w:rPr>
          <w:spacing w:val="-6"/>
        </w:rPr>
        <w:t> </w:t>
      </w:r>
      <w:r>
        <w:rPr/>
        <w:t>payable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7"/>
        </w:rPr>
        <w:t> </w:t>
      </w:r>
      <w:r>
        <w:rPr/>
        <w:t>Company</w:t>
      </w:r>
      <w:r>
        <w:rPr>
          <w:spacing w:val="-6"/>
        </w:rPr>
        <w:t> </w:t>
      </w:r>
      <w:r>
        <w:rPr/>
        <w:t>on</w:t>
      </w:r>
      <w:r>
        <w:rPr>
          <w:spacing w:val="-9"/>
        </w:rPr>
        <w:t> </w:t>
      </w:r>
      <w:r>
        <w:rPr/>
        <w:t>its</w:t>
      </w:r>
      <w:r>
        <w:rPr>
          <w:spacing w:val="-4"/>
        </w:rPr>
        <w:t> </w:t>
      </w:r>
      <w:r>
        <w:rPr/>
        <w:t>profits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so</w:t>
      </w:r>
      <w:r>
        <w:rPr>
          <w:spacing w:val="-6"/>
        </w:rPr>
        <w:t> </w:t>
      </w:r>
      <w:r>
        <w:rPr/>
        <w:t>have</w:t>
      </w:r>
      <w:r>
        <w:rPr>
          <w:spacing w:val="-7"/>
        </w:rPr>
        <w:t> </w:t>
      </w:r>
      <w:r>
        <w:rPr/>
        <w:t>not provided for tax.</w:t>
      </w:r>
    </w:p>
    <w:p>
      <w:pPr>
        <w:pStyle w:val="Heading2"/>
        <w:spacing w:before="227"/>
      </w:pPr>
      <w:r>
        <w:rPr/>
        <w:t>Cost</w:t>
      </w:r>
      <w:r>
        <w:rPr>
          <w:spacing w:val="-12"/>
        </w:rPr>
        <w:t> </w:t>
      </w:r>
      <w:r>
        <w:rPr/>
        <w:t>of</w:t>
      </w:r>
      <w:r>
        <w:rPr>
          <w:spacing w:val="-9"/>
        </w:rPr>
        <w:t> </w:t>
      </w:r>
      <w:r>
        <w:rPr>
          <w:spacing w:val="-2"/>
        </w:rPr>
        <w:t>Equity</w:t>
      </w:r>
    </w:p>
    <w:p>
      <w:pPr>
        <w:pStyle w:val="BodyText"/>
        <w:spacing w:before="20"/>
        <w:rPr>
          <w:rFonts w:ascii="Tahoma"/>
          <w:b/>
        </w:rPr>
      </w:pPr>
    </w:p>
    <w:p>
      <w:pPr>
        <w:pStyle w:val="BodyText"/>
        <w:spacing w:line="249" w:lineRule="auto"/>
        <w:ind w:left="345"/>
      </w:pPr>
      <w:r>
        <w:rPr/>
        <w:t>Given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nature</w:t>
      </w:r>
      <w:r>
        <w:rPr>
          <w:spacing w:val="-5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5"/>
        </w:rPr>
        <w:t> </w:t>
      </w:r>
      <w:r>
        <w:rPr/>
        <w:t>business,</w:t>
      </w:r>
      <w:r>
        <w:rPr>
          <w:spacing w:val="-4"/>
        </w:rPr>
        <w:t> </w:t>
      </w:r>
      <w:r>
        <w:rPr/>
        <w:t>we</w:t>
      </w:r>
      <w:r>
        <w:rPr>
          <w:spacing w:val="-5"/>
        </w:rPr>
        <w:t> </w:t>
      </w:r>
      <w:r>
        <w:rPr/>
        <w:t>have</w:t>
      </w:r>
      <w:r>
        <w:rPr>
          <w:spacing w:val="-8"/>
        </w:rPr>
        <w:t> </w:t>
      </w:r>
      <w:r>
        <w:rPr/>
        <w:t>applied</w:t>
      </w:r>
      <w:r>
        <w:rPr>
          <w:spacing w:val="-1"/>
        </w:rPr>
        <w:t> </w:t>
      </w:r>
      <w:r>
        <w:rPr/>
        <w:t>the</w:t>
      </w:r>
      <w:r>
        <w:rPr>
          <w:spacing w:val="-8"/>
        </w:rPr>
        <w:t> </w:t>
      </w:r>
      <w:r>
        <w:rPr/>
        <w:t>cost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equity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discount</w:t>
      </w:r>
      <w:r>
        <w:rPr>
          <w:spacing w:val="-4"/>
        </w:rPr>
        <w:t> </w:t>
      </w:r>
      <w:r>
        <w:rPr/>
        <w:t>its</w:t>
      </w:r>
      <w:r>
        <w:rPr>
          <w:spacing w:val="-5"/>
        </w:rPr>
        <w:t> </w:t>
      </w:r>
      <w:r>
        <w:rPr/>
        <w:t>future</w:t>
      </w:r>
      <w:r>
        <w:rPr>
          <w:spacing w:val="-5"/>
        </w:rPr>
        <w:t> </w:t>
      </w:r>
      <w:r>
        <w:rPr/>
        <w:t>cash</w:t>
      </w:r>
      <w:r>
        <w:rPr>
          <w:spacing w:val="-5"/>
        </w:rPr>
        <w:t> </w:t>
      </w:r>
      <w:r>
        <w:rPr/>
        <w:t>flows.</w:t>
      </w:r>
      <w:r>
        <w:rPr>
          <w:spacing w:val="-2"/>
        </w:rPr>
        <w:t> </w:t>
      </w:r>
      <w:r>
        <w:rPr/>
        <w:t>We</w:t>
      </w:r>
      <w:r>
        <w:rPr>
          <w:spacing w:val="-2"/>
        </w:rPr>
        <w:t> </w:t>
      </w:r>
      <w:r>
        <w:rPr/>
        <w:t>have</w:t>
      </w:r>
      <w:r>
        <w:rPr>
          <w:spacing w:val="-8"/>
        </w:rPr>
        <w:t> </w:t>
      </w:r>
      <w:r>
        <w:rPr/>
        <w:t>looked</w:t>
      </w:r>
      <w:r>
        <w:rPr>
          <w:spacing w:val="-8"/>
        </w:rPr>
        <w:t> </w:t>
      </w:r>
      <w:r>
        <w:rPr/>
        <w:t>at benchmarking</w:t>
      </w:r>
      <w:r>
        <w:rPr>
          <w:spacing w:val="-8"/>
        </w:rPr>
        <w:t> </w:t>
      </w:r>
      <w:r>
        <w:rPr/>
        <w:t>data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taken</w:t>
      </w:r>
      <w:r>
        <w:rPr>
          <w:spacing w:val="-8"/>
        </w:rPr>
        <w:t> </w:t>
      </w:r>
      <w:r>
        <w:rPr/>
        <w:t>into</w:t>
      </w:r>
      <w:r>
        <w:rPr>
          <w:spacing w:val="-4"/>
        </w:rPr>
        <w:t> </w:t>
      </w:r>
      <w:r>
        <w:rPr/>
        <w:t>account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risk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forecasts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business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apply</w:t>
      </w:r>
      <w:r>
        <w:rPr>
          <w:spacing w:val="-5"/>
        </w:rPr>
        <w:t> </w:t>
      </w:r>
      <w:r>
        <w:rPr/>
        <w:t>an</w:t>
      </w:r>
      <w:r>
        <w:rPr>
          <w:spacing w:val="-5"/>
        </w:rPr>
        <w:t> </w:t>
      </w:r>
      <w:r>
        <w:rPr/>
        <w:t>appropriate</w:t>
      </w:r>
      <w:r>
        <w:rPr>
          <w:spacing w:val="-8"/>
        </w:rPr>
        <w:t> </w:t>
      </w:r>
      <w:r>
        <w:rPr/>
        <w:t>discount</w:t>
      </w:r>
      <w:r>
        <w:rPr>
          <w:spacing w:val="-2"/>
        </w:rPr>
        <w:t> </w:t>
      </w:r>
      <w:r>
        <w:rPr/>
        <w:t>rate to its</w:t>
      </w:r>
      <w:r>
        <w:rPr>
          <w:spacing w:val="-3"/>
        </w:rPr>
        <w:t> </w:t>
      </w:r>
      <w:r>
        <w:rPr/>
        <w:t>future</w:t>
      </w:r>
      <w:r>
        <w:rPr>
          <w:spacing w:val="-3"/>
        </w:rPr>
        <w:t> </w:t>
      </w:r>
      <w:r>
        <w:rPr/>
        <w:t>cash</w:t>
      </w:r>
      <w:r>
        <w:rPr>
          <w:spacing w:val="-1"/>
        </w:rPr>
        <w:t> </w:t>
      </w:r>
      <w:r>
        <w:rPr/>
        <w:t>flows.</w:t>
      </w:r>
    </w:p>
    <w:p>
      <w:pPr>
        <w:pStyle w:val="BodyText"/>
        <w:spacing w:before="21"/>
        <w:rPr>
          <w:sz w:val="20"/>
        </w:rPr>
      </w:pPr>
    </w:p>
    <w:tbl>
      <w:tblPr>
        <w:tblW w:w="0" w:type="auto"/>
        <w:jc w:val="left"/>
        <w:tblInd w:w="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81"/>
        <w:gridCol w:w="6535"/>
      </w:tblGrid>
      <w:tr>
        <w:trPr>
          <w:trHeight w:val="280" w:hRule="atLeast"/>
        </w:trPr>
        <w:tc>
          <w:tcPr>
            <w:tcW w:w="10516" w:type="dxa"/>
            <w:gridSpan w:val="2"/>
            <w:tcBorders>
              <w:top w:val="single" w:sz="4" w:space="0" w:color="000000"/>
              <w:left w:val="single" w:sz="6" w:space="0" w:color="000000"/>
              <w:right w:val="single" w:sz="12" w:space="0" w:color="000000"/>
            </w:tcBorders>
            <w:shd w:val="clear" w:color="auto" w:fill="0F059E"/>
          </w:tcPr>
          <w:p>
            <w:pPr>
              <w:pStyle w:val="TableParagraph"/>
              <w:spacing w:line="253" w:lineRule="exact" w:before="7"/>
              <w:ind w:left="42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color w:val="FFFFFF"/>
                <w:sz w:val="22"/>
              </w:rPr>
              <w:t>CAPM</w:t>
            </w:r>
            <w:r>
              <w:rPr>
                <w:rFonts w:ascii="Tahoma"/>
                <w:b/>
                <w:color w:val="FFFFFF"/>
                <w:spacing w:val="36"/>
                <w:sz w:val="22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22"/>
              </w:rPr>
              <w:t>Calculator</w:t>
            </w:r>
          </w:p>
        </w:tc>
      </w:tr>
      <w:tr>
        <w:trPr>
          <w:trHeight w:val="284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54" w:lineRule="exact" w:before="10"/>
              <w:ind w:left="42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z w:val="22"/>
              </w:rPr>
              <w:t>Capital</w:t>
            </w:r>
            <w:r>
              <w:rPr>
                <w:rFonts w:ascii="Tahoma"/>
                <w:b/>
                <w:spacing w:val="23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Structure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84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963" w:val="left" w:leader="none"/>
              </w:tabs>
              <w:spacing w:line="254" w:lineRule="exact" w:before="10"/>
              <w:ind w:left="42"/>
              <w:rPr>
                <w:sz w:val="22"/>
              </w:rPr>
            </w:pPr>
            <w:r>
              <w:rPr>
                <w:sz w:val="22"/>
              </w:rPr>
              <w:t>Debt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Total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Capitalis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0.0%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4" w:lineRule="exact" w:before="10"/>
              <w:ind w:left="544"/>
              <w:rPr>
                <w:sz w:val="22"/>
              </w:rPr>
            </w:pPr>
            <w:r>
              <w:rPr>
                <w:sz w:val="22"/>
              </w:rPr>
              <w:t>As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management</w:t>
            </w:r>
          </w:p>
        </w:tc>
      </w:tr>
      <w:tr>
        <w:trPr>
          <w:trHeight w:val="280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716" w:val="left" w:leader="none"/>
              </w:tabs>
              <w:spacing w:line="252" w:lineRule="exact" w:before="9"/>
              <w:ind w:left="8"/>
              <w:rPr>
                <w:sz w:val="22"/>
              </w:rPr>
            </w:pPr>
            <w:r>
              <w:rPr>
                <w:rFonts w:ascii="Times New Roman"/>
                <w:spacing w:val="-22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Equity</w:t>
            </w:r>
            <w:r>
              <w:rPr>
                <w:spacing w:val="-16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to</w:t>
            </w:r>
            <w:r>
              <w:rPr>
                <w:spacing w:val="-15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Total</w:t>
            </w:r>
            <w:r>
              <w:rPr>
                <w:spacing w:val="-12"/>
                <w:sz w:val="22"/>
                <w:u w:val="single"/>
              </w:rPr>
              <w:t> </w:t>
            </w:r>
            <w:r>
              <w:rPr>
                <w:spacing w:val="-4"/>
                <w:sz w:val="22"/>
                <w:u w:val="single"/>
              </w:rPr>
              <w:t>Capital</w:t>
            </w:r>
            <w:r>
              <w:rPr>
                <w:sz w:val="22"/>
                <w:u w:val="single"/>
              </w:rPr>
              <w:tab/>
            </w:r>
            <w:r>
              <w:rPr>
                <w:spacing w:val="-2"/>
                <w:sz w:val="22"/>
                <w:u w:val="single"/>
              </w:rPr>
              <w:t>100.0%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2" w:lineRule="exact" w:before="9"/>
              <w:ind w:left="545"/>
              <w:rPr>
                <w:sz w:val="22"/>
              </w:rPr>
            </w:pPr>
            <w:r>
              <w:rPr>
                <w:sz w:val="22"/>
              </w:rPr>
              <w:t>Balancing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figure</w:t>
            </w:r>
          </w:p>
        </w:tc>
      </w:tr>
      <w:tr>
        <w:trPr>
          <w:trHeight w:val="313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941" w:val="left" w:leader="none"/>
              </w:tabs>
              <w:spacing w:before="7"/>
              <w:ind w:left="42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pacing w:val="-2"/>
                <w:sz w:val="22"/>
              </w:rPr>
              <w:t>Debt/Equity</w:t>
            </w:r>
            <w:r>
              <w:rPr>
                <w:rFonts w:ascii="Tahoma"/>
                <w:b/>
                <w:sz w:val="22"/>
              </w:rPr>
              <w:tab/>
            </w:r>
            <w:r>
              <w:rPr>
                <w:rFonts w:ascii="Tahoma"/>
                <w:b/>
                <w:spacing w:val="-4"/>
                <w:sz w:val="22"/>
              </w:rPr>
              <w:t>0.0%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55" w:lineRule="exact" w:before="42"/>
              <w:ind w:left="42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z w:val="22"/>
              </w:rPr>
              <w:t>Cost of</w:t>
            </w:r>
            <w:r>
              <w:rPr>
                <w:rFonts w:ascii="Tahoma"/>
                <w:b/>
                <w:spacing w:val="3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Equity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4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839" w:val="left" w:leader="none"/>
              </w:tabs>
              <w:spacing w:line="253" w:lineRule="exact" w:before="11"/>
              <w:ind w:left="42"/>
              <w:rPr>
                <w:sz w:val="22"/>
              </w:rPr>
            </w:pPr>
            <w:r>
              <w:rPr>
                <w:w w:val="90"/>
                <w:sz w:val="22"/>
              </w:rPr>
              <w:t>Risk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Rate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4.60%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3" w:lineRule="exact" w:before="11"/>
              <w:ind w:left="544"/>
              <w:rPr>
                <w:sz w:val="22"/>
              </w:rPr>
            </w:pPr>
            <w:r>
              <w:rPr>
                <w:sz w:val="22"/>
              </w:rPr>
              <w:t>UK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year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Government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Bonds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March</w:t>
            </w:r>
            <w:r>
              <w:rPr>
                <w:spacing w:val="-19"/>
                <w:sz w:val="22"/>
              </w:rPr>
              <w:t> </w:t>
            </w:r>
            <w:r>
              <w:rPr>
                <w:spacing w:val="-4"/>
                <w:sz w:val="22"/>
              </w:rPr>
              <w:t>2025</w:t>
            </w:r>
          </w:p>
        </w:tc>
      </w:tr>
      <w:tr>
        <w:trPr>
          <w:trHeight w:val="281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839" w:val="left" w:leader="none"/>
              </w:tabs>
              <w:spacing w:line="254" w:lineRule="exact" w:before="8"/>
              <w:ind w:left="4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Equity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Risk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Premium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5.00%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4" w:lineRule="exact" w:before="8"/>
              <w:ind w:left="544"/>
              <w:rPr>
                <w:sz w:val="22"/>
              </w:rPr>
            </w:pPr>
            <w:r>
              <w:rPr>
                <w:spacing w:val="-8"/>
                <w:sz w:val="22"/>
              </w:rPr>
              <w:t>Historical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8"/>
                <w:sz w:val="22"/>
              </w:rPr>
              <w:t>long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8"/>
                <w:sz w:val="22"/>
              </w:rPr>
              <w:t>term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ERP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(Source: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8"/>
                <w:sz w:val="22"/>
              </w:rPr>
              <w:t>Kroll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8"/>
                <w:sz w:val="22"/>
              </w:rPr>
              <w:t>12/31/2024)</w:t>
            </w:r>
          </w:p>
        </w:tc>
      </w:tr>
      <w:tr>
        <w:trPr>
          <w:trHeight w:val="281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3368" w:val="right" w:leader="none"/>
              </w:tabs>
              <w:spacing w:line="253" w:lineRule="exact" w:before="9"/>
              <w:ind w:left="42"/>
              <w:rPr>
                <w:sz w:val="22"/>
              </w:rPr>
            </w:pPr>
            <w:r>
              <w:rPr>
                <w:sz w:val="22"/>
              </w:rPr>
              <w:t>Levered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4"/>
                <w:sz w:val="22"/>
              </w:rPr>
              <w:t>Beta</w:t>
            </w:r>
            <w:r>
              <w:rPr>
                <w:rFonts w:ascii="Times New Roman"/>
                <w:sz w:val="22"/>
              </w:rPr>
              <w:tab/>
            </w:r>
            <w:r>
              <w:rPr>
                <w:spacing w:val="-4"/>
                <w:sz w:val="22"/>
              </w:rPr>
              <w:t>0.80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3" w:lineRule="exact" w:before="9"/>
              <w:ind w:left="545"/>
              <w:rPr>
                <w:sz w:val="22"/>
              </w:rPr>
            </w:pPr>
            <w:r>
              <w:rPr>
                <w:spacing w:val="-6"/>
                <w:sz w:val="22"/>
              </w:rPr>
              <w:t>Industry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6"/>
                <w:sz w:val="22"/>
              </w:rPr>
              <w:t>Beta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(Source: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6"/>
                <w:sz w:val="22"/>
              </w:rPr>
              <w:t>S&amp;P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Capital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6"/>
                <w:sz w:val="22"/>
              </w:rPr>
              <w:t>IQ)</w:t>
            </w:r>
          </w:p>
        </w:tc>
      </w:tr>
      <w:tr>
        <w:trPr>
          <w:trHeight w:val="281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838" w:val="left" w:leader="none"/>
              </w:tabs>
              <w:spacing w:line="254" w:lineRule="exact" w:before="8"/>
              <w:ind w:left="42"/>
              <w:rPr>
                <w:sz w:val="22"/>
              </w:rPr>
            </w:pPr>
            <w:r>
              <w:rPr>
                <w:spacing w:val="-2"/>
                <w:sz w:val="22"/>
              </w:rPr>
              <w:t>Small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"/>
                <w:sz w:val="22"/>
              </w:rPr>
              <w:t>Company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Risk</w:t>
            </w:r>
            <w:r>
              <w:rPr>
                <w:spacing w:val="-18"/>
                <w:sz w:val="22"/>
              </w:rPr>
              <w:t> </w:t>
            </w:r>
            <w:r>
              <w:rPr>
                <w:spacing w:val="-10"/>
                <w:sz w:val="22"/>
              </w:rPr>
              <w:t>P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0.00%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4" w:lineRule="exact" w:before="8"/>
              <w:ind w:left="545"/>
              <w:rPr>
                <w:sz w:val="22"/>
              </w:rPr>
            </w:pPr>
            <w:r>
              <w:rPr>
                <w:sz w:val="22"/>
              </w:rPr>
              <w:t>Not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applied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forestry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project</w:t>
            </w:r>
          </w:p>
        </w:tc>
      </w:tr>
      <w:tr>
        <w:trPr>
          <w:trHeight w:val="279" w:hRule="atLeast"/>
        </w:trPr>
        <w:tc>
          <w:tcPr>
            <w:tcW w:w="3981" w:type="dxa"/>
            <w:tcBorders>
              <w:left w:val="single" w:sz="6" w:space="0" w:color="000000"/>
            </w:tcBorders>
          </w:tcPr>
          <w:p>
            <w:pPr>
              <w:pStyle w:val="TableParagraph"/>
              <w:tabs>
                <w:tab w:pos="2838" w:val="left" w:leader="none"/>
              </w:tabs>
              <w:spacing w:line="251" w:lineRule="exact" w:before="9"/>
              <w:ind w:left="8"/>
              <w:rPr>
                <w:sz w:val="22"/>
              </w:rPr>
            </w:pPr>
            <w:r>
              <w:rPr>
                <w:rFonts w:ascii="Times New Roman"/>
                <w:spacing w:val="-22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Project</w:t>
            </w:r>
            <w:r>
              <w:rPr>
                <w:spacing w:val="-8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Specific</w:t>
            </w:r>
            <w:r>
              <w:rPr>
                <w:spacing w:val="-9"/>
                <w:sz w:val="22"/>
                <w:u w:val="single"/>
              </w:rPr>
              <w:t> </w:t>
            </w:r>
            <w:r>
              <w:rPr>
                <w:spacing w:val="-2"/>
                <w:sz w:val="22"/>
                <w:u w:val="single"/>
              </w:rPr>
              <w:t>premiu</w:t>
            </w:r>
            <w:r>
              <w:rPr>
                <w:sz w:val="22"/>
                <w:u w:val="single"/>
              </w:rPr>
              <w:tab/>
            </w:r>
            <w:r>
              <w:rPr>
                <w:spacing w:val="-4"/>
                <w:sz w:val="22"/>
                <w:u w:val="single"/>
              </w:rPr>
              <w:t>1.40%</w:t>
            </w:r>
          </w:p>
        </w:tc>
        <w:tc>
          <w:tcPr>
            <w:tcW w:w="6535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51" w:lineRule="exact" w:before="9"/>
              <w:ind w:left="545"/>
              <w:rPr>
                <w:sz w:val="22"/>
              </w:rPr>
            </w:pPr>
            <w:r>
              <w:rPr>
                <w:sz w:val="22"/>
              </w:rPr>
              <w:t>Forecast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risk</w:t>
            </w:r>
          </w:p>
        </w:tc>
      </w:tr>
      <w:tr>
        <w:trPr>
          <w:trHeight w:val="265" w:hRule="atLeast"/>
        </w:trPr>
        <w:tc>
          <w:tcPr>
            <w:tcW w:w="3981" w:type="dxa"/>
            <w:tcBorders>
              <w:left w:val="single" w:sz="6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2817" w:val="left" w:leader="none"/>
              </w:tabs>
              <w:spacing w:line="239" w:lineRule="exact" w:before="6"/>
              <w:ind w:left="42"/>
              <w:rPr>
                <w:rFonts w:ascii="Tahoma"/>
                <w:b/>
                <w:sz w:val="22"/>
              </w:rPr>
            </w:pPr>
            <w:r>
              <w:rPr>
                <w:rFonts w:ascii="Tahoma"/>
                <w:b/>
                <w:sz w:val="22"/>
              </w:rPr>
              <w:t>Cost of</w:t>
            </w:r>
            <w:r>
              <w:rPr>
                <w:rFonts w:ascii="Tahoma"/>
                <w:b/>
                <w:spacing w:val="3"/>
                <w:sz w:val="22"/>
              </w:rPr>
              <w:t> </w:t>
            </w:r>
            <w:r>
              <w:rPr>
                <w:rFonts w:ascii="Tahoma"/>
                <w:b/>
                <w:spacing w:val="-2"/>
                <w:sz w:val="22"/>
              </w:rPr>
              <w:t>Equity</w:t>
            </w:r>
            <w:r>
              <w:rPr>
                <w:rFonts w:ascii="Tahoma"/>
                <w:b/>
                <w:sz w:val="22"/>
              </w:rPr>
              <w:tab/>
            </w:r>
            <w:r>
              <w:rPr>
                <w:rFonts w:ascii="Tahoma"/>
                <w:b/>
                <w:spacing w:val="-4"/>
                <w:sz w:val="22"/>
              </w:rPr>
              <w:t>10.0%</w:t>
            </w:r>
          </w:p>
        </w:tc>
        <w:tc>
          <w:tcPr>
            <w:tcW w:w="6535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4"/>
      </w:pPr>
    </w:p>
    <w:p>
      <w:pPr>
        <w:pStyle w:val="BodyText"/>
        <w:spacing w:line="249" w:lineRule="auto"/>
        <w:ind w:left="345"/>
      </w:pPr>
      <w:r>
        <w:rPr/>
        <w:t>As per</w:t>
      </w:r>
      <w:r>
        <w:rPr>
          <w:spacing w:val="-1"/>
        </w:rPr>
        <w:t> </w:t>
      </w:r>
      <w:r>
        <w:rPr/>
        <w:t>the forecast,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project will</w:t>
      </w:r>
      <w:r>
        <w:rPr>
          <w:spacing w:val="-1"/>
        </w:rPr>
        <w:t> </w:t>
      </w:r>
      <w:r>
        <w:rPr/>
        <w:t>be funded using</w:t>
      </w:r>
      <w:r>
        <w:rPr>
          <w:spacing w:val="-1"/>
        </w:rPr>
        <w:t> </w:t>
      </w:r>
      <w:r>
        <w:rPr/>
        <w:t>equity</w:t>
      </w:r>
      <w:r>
        <w:rPr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debt will be</w:t>
      </w:r>
      <w:r>
        <w:rPr>
          <w:spacing w:val="-4"/>
        </w:rPr>
        <w:t> </w:t>
      </w:r>
      <w:r>
        <w:rPr/>
        <w:t>included.</w:t>
      </w:r>
      <w:r>
        <w:rPr>
          <w:spacing w:val="-1"/>
        </w:rPr>
        <w:t> </w:t>
      </w:r>
      <w:r>
        <w:rPr/>
        <w:t>Accordingly,</w:t>
      </w:r>
      <w:r>
        <w:rPr>
          <w:spacing w:val="-4"/>
        </w:rPr>
        <w:t> </w:t>
      </w:r>
      <w:r>
        <w:rPr/>
        <w:t>we</w:t>
      </w:r>
      <w:r>
        <w:rPr>
          <w:spacing w:val="-1"/>
        </w:rPr>
        <w:t> </w:t>
      </w:r>
      <w:r>
        <w:rPr/>
        <w:t>have</w:t>
      </w:r>
      <w:r>
        <w:rPr>
          <w:spacing w:val="-4"/>
        </w:rPr>
        <w:t> </w:t>
      </w:r>
      <w:r>
        <w:rPr/>
        <w:t>calculated the</w:t>
      </w:r>
      <w:r>
        <w:rPr>
          <w:spacing w:val="-8"/>
        </w:rPr>
        <w:t> </w:t>
      </w:r>
      <w:r>
        <w:rPr/>
        <w:t>cost</w:t>
      </w:r>
      <w:r>
        <w:rPr>
          <w:spacing w:val="-2"/>
        </w:rPr>
        <w:t> </w:t>
      </w:r>
      <w:r>
        <w:rPr/>
        <w:t>of</w:t>
      </w:r>
      <w:r>
        <w:rPr>
          <w:spacing w:val="-8"/>
        </w:rPr>
        <w:t> </w:t>
      </w:r>
      <w:r>
        <w:rPr/>
        <w:t>equity</w:t>
      </w:r>
      <w:r>
        <w:rPr>
          <w:spacing w:val="-2"/>
        </w:rPr>
        <w:t> </w:t>
      </w:r>
      <w:r>
        <w:rPr/>
        <w:t>that</w:t>
      </w:r>
      <w:r>
        <w:rPr>
          <w:spacing w:val="-6"/>
        </w:rPr>
        <w:t> </w:t>
      </w:r>
      <w:r>
        <w:rPr/>
        <w:t>has</w:t>
      </w:r>
      <w:r>
        <w:rPr>
          <w:spacing w:val="-6"/>
        </w:rPr>
        <w:t> </w:t>
      </w:r>
      <w:r>
        <w:rPr/>
        <w:t>been</w:t>
      </w:r>
      <w:r>
        <w:rPr>
          <w:spacing w:val="-6"/>
        </w:rPr>
        <w:t> </w:t>
      </w:r>
      <w:r>
        <w:rPr/>
        <w:t>used</w:t>
      </w:r>
      <w:r>
        <w:rPr>
          <w:spacing w:val="-6"/>
        </w:rPr>
        <w:t> </w:t>
      </w:r>
      <w:r>
        <w:rPr/>
        <w:t>to</w:t>
      </w:r>
      <w:r>
        <w:rPr>
          <w:spacing w:val="-8"/>
        </w:rPr>
        <w:t> </w:t>
      </w:r>
      <w:r>
        <w:rPr/>
        <w:t>discount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cash</w:t>
      </w:r>
      <w:r>
        <w:rPr>
          <w:spacing w:val="-6"/>
        </w:rPr>
        <w:t> </w:t>
      </w:r>
      <w:r>
        <w:rPr/>
        <w:t>flows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2"/>
        </w:rPr>
        <w:t> </w:t>
      </w:r>
      <w:r>
        <w:rPr/>
        <w:t>forestry</w:t>
      </w:r>
      <w:r>
        <w:rPr>
          <w:spacing w:val="-6"/>
        </w:rPr>
        <w:t> </w:t>
      </w:r>
      <w:r>
        <w:rPr/>
        <w:t>project.</w:t>
      </w:r>
    </w:p>
    <w:p>
      <w:pPr>
        <w:pStyle w:val="BodyText"/>
        <w:spacing w:after="0" w:line="249" w:lineRule="auto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BodyText"/>
        <w:spacing w:before="242"/>
      </w:pPr>
    </w:p>
    <w:p>
      <w:pPr>
        <w:pStyle w:val="BodyText"/>
        <w:spacing w:line="249" w:lineRule="auto" w:before="1"/>
        <w:ind w:left="345" w:right="385"/>
        <w:jc w:val="both"/>
      </w:pPr>
      <w:r>
        <w:rPr/>
        <w:t>We</w:t>
      </w:r>
      <w:r>
        <w:rPr>
          <w:spacing w:val="-20"/>
        </w:rPr>
        <w:t> </w:t>
      </w:r>
      <w:r>
        <w:rPr/>
        <w:t>have</w:t>
      </w:r>
      <w:r>
        <w:rPr>
          <w:spacing w:val="-19"/>
        </w:rPr>
        <w:t> </w:t>
      </w:r>
      <w:r>
        <w:rPr/>
        <w:t>not</w:t>
      </w:r>
      <w:r>
        <w:rPr>
          <w:spacing w:val="-19"/>
        </w:rPr>
        <w:t> </w:t>
      </w:r>
      <w:r>
        <w:rPr/>
        <w:t>applied</w:t>
      </w:r>
      <w:r>
        <w:rPr>
          <w:spacing w:val="-20"/>
        </w:rPr>
        <w:t> </w:t>
      </w:r>
      <w:r>
        <w:rPr/>
        <w:t>a</w:t>
      </w:r>
      <w:r>
        <w:rPr>
          <w:spacing w:val="-19"/>
        </w:rPr>
        <w:t> </w:t>
      </w:r>
      <w:r>
        <w:rPr/>
        <w:t>small</w:t>
      </w:r>
      <w:r>
        <w:rPr>
          <w:spacing w:val="-20"/>
        </w:rPr>
        <w:t> </w:t>
      </w:r>
      <w:r>
        <w:rPr/>
        <w:t>company</w:t>
      </w:r>
      <w:r>
        <w:rPr>
          <w:spacing w:val="-19"/>
        </w:rPr>
        <w:t> </w:t>
      </w:r>
      <w:r>
        <w:rPr/>
        <w:t>risk</w:t>
      </w:r>
      <w:r>
        <w:rPr>
          <w:spacing w:val="-19"/>
        </w:rPr>
        <w:t> </w:t>
      </w:r>
      <w:r>
        <w:rPr/>
        <w:t>premium</w:t>
      </w:r>
      <w:r>
        <w:rPr>
          <w:spacing w:val="-20"/>
        </w:rPr>
        <w:t> </w:t>
      </w:r>
      <w:r>
        <w:rPr/>
        <w:t>given</w:t>
      </w:r>
      <w:r>
        <w:rPr>
          <w:spacing w:val="-19"/>
        </w:rPr>
        <w:t> </w:t>
      </w:r>
      <w:r>
        <w:rPr/>
        <w:t>that</w:t>
      </w:r>
      <w:r>
        <w:rPr>
          <w:spacing w:val="-19"/>
        </w:rPr>
        <w:t> </w:t>
      </w:r>
      <w:r>
        <w:rPr/>
        <w:t>the</w:t>
      </w:r>
      <w:r>
        <w:rPr>
          <w:spacing w:val="-18"/>
        </w:rPr>
        <w:t> </w:t>
      </w:r>
      <w:r>
        <w:rPr/>
        <w:t>risk</w:t>
      </w:r>
      <w:r>
        <w:rPr>
          <w:spacing w:val="-19"/>
        </w:rPr>
        <w:t> </w:t>
      </w:r>
      <w:r>
        <w:rPr/>
        <w:t>profile</w:t>
      </w:r>
      <w:r>
        <w:rPr>
          <w:spacing w:val="-20"/>
        </w:rPr>
        <w:t> </w:t>
      </w:r>
      <w:r>
        <w:rPr/>
        <w:t>for</w:t>
      </w:r>
      <w:r>
        <w:rPr>
          <w:spacing w:val="-19"/>
        </w:rPr>
        <w:t> </w:t>
      </w:r>
      <w:r>
        <w:rPr/>
        <w:t>a</w:t>
      </w:r>
      <w:r>
        <w:rPr>
          <w:spacing w:val="-19"/>
        </w:rPr>
        <w:t> </w:t>
      </w:r>
      <w:r>
        <w:rPr/>
        <w:t>forestry</w:t>
      </w:r>
      <w:r>
        <w:rPr>
          <w:spacing w:val="-18"/>
        </w:rPr>
        <w:t> </w:t>
      </w:r>
      <w:r>
        <w:rPr/>
        <w:t>project</w:t>
      </w:r>
      <w:r>
        <w:rPr>
          <w:spacing w:val="-19"/>
        </w:rPr>
        <w:t> </w:t>
      </w:r>
      <w:r>
        <w:rPr/>
        <w:t>is</w:t>
      </w:r>
      <w:r>
        <w:rPr>
          <w:spacing w:val="-20"/>
        </w:rPr>
        <w:t> </w:t>
      </w:r>
      <w:r>
        <w:rPr/>
        <w:t>different</w:t>
      </w:r>
      <w:r>
        <w:rPr>
          <w:spacing w:val="-18"/>
        </w:rPr>
        <w:t> </w:t>
      </w:r>
      <w:r>
        <w:rPr/>
        <w:t>to</w:t>
      </w:r>
      <w:r>
        <w:rPr>
          <w:spacing w:val="-19"/>
        </w:rPr>
        <w:t> </w:t>
      </w:r>
      <w:r>
        <w:rPr/>
        <w:t>an</w:t>
      </w:r>
      <w:r>
        <w:rPr>
          <w:spacing w:val="-18"/>
        </w:rPr>
        <w:t> </w:t>
      </w:r>
      <w:r>
        <w:rPr/>
        <w:t>equity </w:t>
      </w:r>
      <w:r>
        <w:rPr>
          <w:spacing w:val="-2"/>
        </w:rPr>
        <w:t>investment.</w:t>
      </w:r>
      <w:r>
        <w:rPr>
          <w:spacing w:val="-9"/>
        </w:rPr>
        <w:t> </w:t>
      </w:r>
      <w:r>
        <w:rPr>
          <w:spacing w:val="-2"/>
        </w:rPr>
        <w:t>Provided</w:t>
      </w:r>
      <w:r>
        <w:rPr>
          <w:spacing w:val="-12"/>
        </w:rPr>
        <w:t> </w:t>
      </w:r>
      <w:r>
        <w:rPr>
          <w:spacing w:val="-2"/>
        </w:rPr>
        <w:t>that</w:t>
      </w:r>
      <w:r>
        <w:rPr>
          <w:spacing w:val="-6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spacing w:val="-2"/>
        </w:rPr>
        <w:t>equity</w:t>
      </w:r>
      <w:r>
        <w:rPr>
          <w:spacing w:val="-9"/>
        </w:rPr>
        <w:t> </w:t>
      </w:r>
      <w:r>
        <w:rPr>
          <w:spacing w:val="-2"/>
        </w:rPr>
        <w:t>investment</w:t>
      </w:r>
      <w:r>
        <w:rPr>
          <w:spacing w:val="-10"/>
        </w:rPr>
        <w:t> </w:t>
      </w:r>
      <w:r>
        <w:rPr>
          <w:spacing w:val="-2"/>
        </w:rPr>
        <w:t>is</w:t>
      </w:r>
      <w:r>
        <w:rPr>
          <w:spacing w:val="-9"/>
        </w:rPr>
        <w:t> </w:t>
      </w:r>
      <w:r>
        <w:rPr>
          <w:spacing w:val="-2"/>
        </w:rPr>
        <w:t>secured,</w:t>
      </w:r>
      <w:r>
        <w:rPr>
          <w:spacing w:val="-10"/>
        </w:rPr>
        <w:t> </w:t>
      </w:r>
      <w:r>
        <w:rPr>
          <w:spacing w:val="-2"/>
        </w:rPr>
        <w:t>forestry</w:t>
      </w:r>
      <w:r>
        <w:rPr>
          <w:spacing w:val="-9"/>
        </w:rPr>
        <w:t> </w:t>
      </w:r>
      <w:r>
        <w:rPr>
          <w:spacing w:val="-2"/>
        </w:rPr>
        <w:t>project</w:t>
      </w:r>
      <w:r>
        <w:rPr>
          <w:spacing w:val="-12"/>
        </w:rPr>
        <w:t> </w:t>
      </w:r>
      <w:r>
        <w:rPr>
          <w:spacing w:val="-2"/>
        </w:rPr>
        <w:t>cash</w:t>
      </w:r>
      <w:r>
        <w:rPr>
          <w:spacing w:val="-10"/>
        </w:rPr>
        <w:t> </w:t>
      </w:r>
      <w:r>
        <w:rPr>
          <w:spacing w:val="-2"/>
        </w:rPr>
        <w:t>flows</w:t>
      </w:r>
      <w:r>
        <w:rPr>
          <w:spacing w:val="-9"/>
        </w:rPr>
        <w:t> </w:t>
      </w:r>
      <w:r>
        <w:rPr>
          <w:spacing w:val="-2"/>
        </w:rPr>
        <w:t>are</w:t>
      </w:r>
      <w:r>
        <w:rPr>
          <w:spacing w:val="-12"/>
        </w:rPr>
        <w:t> </w:t>
      </w:r>
      <w:r>
        <w:rPr>
          <w:spacing w:val="-2"/>
        </w:rPr>
        <w:t>expected</w:t>
      </w:r>
      <w:r>
        <w:rPr>
          <w:spacing w:val="-5"/>
        </w:rPr>
        <w:t> </w:t>
      </w:r>
      <w:r>
        <w:rPr>
          <w:spacing w:val="-2"/>
        </w:rPr>
        <w:t>to</w:t>
      </w:r>
      <w:r>
        <w:rPr>
          <w:spacing w:val="-13"/>
        </w:rPr>
        <w:t> </w:t>
      </w:r>
      <w:r>
        <w:rPr>
          <w:spacing w:val="-2"/>
        </w:rPr>
        <w:t>be</w:t>
      </w:r>
      <w:r>
        <w:rPr>
          <w:spacing w:val="-12"/>
        </w:rPr>
        <w:t> </w:t>
      </w:r>
      <w:r>
        <w:rPr>
          <w:spacing w:val="-2"/>
        </w:rPr>
        <w:t>relatively</w:t>
      </w:r>
      <w:r>
        <w:rPr>
          <w:spacing w:val="-12"/>
        </w:rPr>
        <w:t> </w:t>
      </w:r>
      <w:r>
        <w:rPr>
          <w:spacing w:val="-2"/>
        </w:rPr>
        <w:t>stable </w:t>
      </w:r>
      <w:r>
        <w:rPr/>
        <w:t>and the risk associated with company size</w:t>
      </w:r>
      <w:r>
        <w:rPr>
          <w:spacing w:val="-1"/>
        </w:rPr>
        <w:t> </w:t>
      </w:r>
      <w:r>
        <w:rPr/>
        <w:t>does not apply to the project.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345"/>
      </w:pPr>
      <w:r>
        <w:rPr/>
        <w:t>We</w:t>
      </w:r>
      <w:r>
        <w:rPr>
          <w:spacing w:val="-8"/>
        </w:rPr>
        <w:t> </w:t>
      </w:r>
      <w:r>
        <w:rPr/>
        <w:t>have</w:t>
      </w:r>
      <w:r>
        <w:rPr>
          <w:spacing w:val="-6"/>
        </w:rPr>
        <w:t> </w:t>
      </w:r>
      <w:r>
        <w:rPr/>
        <w:t>applied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project</w:t>
      </w:r>
      <w:r>
        <w:rPr>
          <w:spacing w:val="-6"/>
        </w:rPr>
        <w:t> </w:t>
      </w:r>
      <w:r>
        <w:rPr/>
        <w:t>specific</w:t>
      </w:r>
      <w:r>
        <w:rPr>
          <w:spacing w:val="-8"/>
        </w:rPr>
        <w:t> </w:t>
      </w:r>
      <w:r>
        <w:rPr/>
        <w:t>premium</w:t>
      </w:r>
      <w:r>
        <w:rPr>
          <w:spacing w:val="-6"/>
        </w:rPr>
        <w:t> </w:t>
      </w:r>
      <w:r>
        <w:rPr/>
        <w:t>on</w:t>
      </w:r>
      <w:r>
        <w:rPr>
          <w:spacing w:val="-10"/>
        </w:rPr>
        <w:t> </w:t>
      </w:r>
      <w:r>
        <w:rPr/>
        <w:t>the</w:t>
      </w:r>
      <w:r>
        <w:rPr>
          <w:spacing w:val="-6"/>
        </w:rPr>
        <w:t> </w:t>
      </w:r>
      <w:r>
        <w:rPr/>
        <w:t>basis</w:t>
      </w:r>
      <w:r>
        <w:rPr>
          <w:spacing w:val="-6"/>
        </w:rPr>
        <w:t> </w:t>
      </w:r>
      <w:r>
        <w:rPr/>
        <w:t>that</w:t>
      </w:r>
      <w:r>
        <w:rPr>
          <w:spacing w:val="-4"/>
        </w:rPr>
        <w:t> </w:t>
      </w:r>
      <w:r>
        <w:rPr/>
        <w:t>whilst</w:t>
      </w:r>
      <w:r>
        <w:rPr>
          <w:spacing w:val="-2"/>
        </w:rPr>
        <w:t> </w:t>
      </w:r>
      <w:r>
        <w:rPr/>
        <w:t>management</w:t>
      </w:r>
      <w:r>
        <w:rPr>
          <w:spacing w:val="-6"/>
        </w:rPr>
        <w:t> </w:t>
      </w:r>
      <w:r>
        <w:rPr/>
        <w:t>have</w:t>
      </w:r>
      <w:r>
        <w:rPr>
          <w:spacing w:val="-6"/>
        </w:rPr>
        <w:t> </w:t>
      </w:r>
      <w:r>
        <w:rPr/>
        <w:t>advised</w:t>
      </w:r>
      <w:r>
        <w:rPr>
          <w:spacing w:val="-6"/>
        </w:rPr>
        <w:t> </w:t>
      </w:r>
      <w:r>
        <w:rPr/>
        <w:t>they</w:t>
      </w:r>
      <w:r>
        <w:rPr>
          <w:spacing w:val="-2"/>
        </w:rPr>
        <w:t> </w:t>
      </w:r>
      <w:r>
        <w:rPr/>
        <w:t>will</w:t>
      </w:r>
      <w:r>
        <w:rPr>
          <w:spacing w:val="-6"/>
        </w:rPr>
        <w:t> </w:t>
      </w:r>
      <w:r>
        <w:rPr/>
        <w:t>be</w:t>
      </w:r>
      <w:r>
        <w:rPr>
          <w:spacing w:val="-2"/>
        </w:rPr>
        <w:t> </w:t>
      </w:r>
      <w:r>
        <w:rPr/>
        <w:t>able</w:t>
      </w:r>
      <w:r>
        <w:rPr>
          <w:spacing w:val="-2"/>
        </w:rPr>
        <w:t> </w:t>
      </w:r>
      <w:r>
        <w:rPr/>
        <w:t>to</w:t>
      </w:r>
      <w:r>
        <w:rPr>
          <w:spacing w:val="-8"/>
        </w:rPr>
        <w:t> </w:t>
      </w:r>
      <w:r>
        <w:rPr/>
        <w:t>deliver the</w:t>
      </w:r>
      <w:r>
        <w:rPr>
          <w:spacing w:val="-6"/>
        </w:rPr>
        <w:t> </w:t>
      </w:r>
      <w:r>
        <w:rPr/>
        <w:t>forecasted</w:t>
      </w:r>
      <w:r>
        <w:rPr>
          <w:spacing w:val="-6"/>
        </w:rPr>
        <w:t> </w:t>
      </w:r>
      <w:r>
        <w:rPr/>
        <w:t>cashflows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receive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required</w:t>
      </w:r>
      <w:r>
        <w:rPr>
          <w:spacing w:val="-5"/>
        </w:rPr>
        <w:t> </w:t>
      </w:r>
      <w:r>
        <w:rPr/>
        <w:t>investment,</w:t>
      </w:r>
      <w:r>
        <w:rPr>
          <w:spacing w:val="-9"/>
        </w:rPr>
        <w:t> </w:t>
      </w:r>
      <w:r>
        <w:rPr/>
        <w:t>we</w:t>
      </w:r>
      <w:r>
        <w:rPr>
          <w:spacing w:val="-2"/>
        </w:rPr>
        <w:t> </w:t>
      </w:r>
      <w:r>
        <w:rPr/>
        <w:t>believe there</w:t>
      </w:r>
      <w:r>
        <w:rPr>
          <w:spacing w:val="-6"/>
        </w:rPr>
        <w:t> </w:t>
      </w:r>
      <w:r>
        <w:rPr/>
        <w:t>would</w:t>
      </w:r>
      <w:r>
        <w:rPr>
          <w:spacing w:val="-5"/>
        </w:rPr>
        <w:t> </w:t>
      </w:r>
      <w:r>
        <w:rPr/>
        <w:t>still</w:t>
      </w:r>
      <w:r>
        <w:rPr>
          <w:spacing w:val="-4"/>
        </w:rPr>
        <w:t> </w:t>
      </w:r>
      <w:r>
        <w:rPr/>
        <w:t>be</w:t>
      </w:r>
      <w:r>
        <w:rPr>
          <w:spacing w:val="-6"/>
        </w:rPr>
        <w:t> </w:t>
      </w:r>
      <w:r>
        <w:rPr/>
        <w:t>some</w:t>
      </w:r>
      <w:r>
        <w:rPr>
          <w:spacing w:val="-4"/>
        </w:rPr>
        <w:t> </w:t>
      </w:r>
      <w:r>
        <w:rPr/>
        <w:t>additional</w:t>
      </w:r>
      <w:r>
        <w:rPr>
          <w:spacing w:val="-4"/>
        </w:rPr>
        <w:t> </w:t>
      </w:r>
      <w:r>
        <w:rPr/>
        <w:t>risk</w:t>
      </w:r>
      <w:r>
        <w:rPr>
          <w:spacing w:val="-4"/>
        </w:rPr>
        <w:t> </w:t>
      </w:r>
      <w:r>
        <w:rPr/>
        <w:t>to account for the level of execution and forecast risk for the project.</w:t>
      </w:r>
    </w:p>
    <w:p>
      <w:pPr>
        <w:pStyle w:val="BodyText"/>
        <w:spacing w:after="0" w:line="247" w:lineRule="auto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4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w w:val="90"/>
        </w:rPr>
        <w:t>VALUATION</w:t>
      </w:r>
      <w:r>
        <w:rPr>
          <w:spacing w:val="15"/>
        </w:rPr>
        <w:t> </w:t>
      </w:r>
      <w:r>
        <w:rPr>
          <w:w w:val="90"/>
        </w:rPr>
        <w:t>CALCULATIONS</w:t>
      </w:r>
      <w:r>
        <w:rPr>
          <w:spacing w:val="16"/>
        </w:rPr>
        <w:t> </w:t>
      </w:r>
      <w:r>
        <w:rPr>
          <w:w w:val="90"/>
        </w:rPr>
        <w:t>–</w:t>
      </w:r>
      <w:r>
        <w:rPr>
          <w:spacing w:val="13"/>
        </w:rPr>
        <w:t> </w:t>
      </w:r>
      <w:r>
        <w:rPr>
          <w:w w:val="90"/>
        </w:rPr>
        <w:t>PART</w:t>
      </w:r>
      <w:r>
        <w:rPr>
          <w:spacing w:val="16"/>
        </w:rPr>
        <w:t> </w:t>
      </w:r>
      <w:r>
        <w:rPr>
          <w:w w:val="90"/>
        </w:rPr>
        <w:t>1/3</w:t>
      </w:r>
      <w:r>
        <w:rPr>
          <w:spacing w:val="16"/>
        </w:rPr>
        <w:t> </w:t>
      </w:r>
      <w:r>
        <w:rPr>
          <w:w w:val="90"/>
        </w:rPr>
        <w:t>–</w:t>
      </w:r>
      <w:r>
        <w:rPr>
          <w:spacing w:val="15"/>
        </w:rPr>
        <w:t> </w:t>
      </w:r>
      <w:r>
        <w:rPr>
          <w:w w:val="90"/>
        </w:rPr>
        <w:t>VALUATION</w:t>
      </w:r>
      <w:r>
        <w:rPr>
          <w:spacing w:val="16"/>
        </w:rPr>
        <w:t> </w:t>
      </w:r>
      <w:r>
        <w:rPr>
          <w:w w:val="90"/>
        </w:rPr>
        <w:t>OF</w:t>
      </w:r>
      <w:r>
        <w:rPr>
          <w:spacing w:val="20"/>
        </w:rPr>
        <w:t> </w:t>
      </w:r>
      <w:r>
        <w:rPr>
          <w:w w:val="90"/>
        </w:rPr>
        <w:t>FORESTRY</w:t>
      </w:r>
      <w:r>
        <w:rPr>
          <w:spacing w:val="19"/>
        </w:rPr>
        <w:t> </w:t>
      </w:r>
      <w:r>
        <w:rPr>
          <w:spacing w:val="-2"/>
          <w:w w:val="90"/>
        </w:rPr>
        <w:t>PROJECT</w:t>
      </w:r>
    </w:p>
    <w:p>
      <w:pPr>
        <w:pStyle w:val="Heading2"/>
        <w:spacing w:before="181"/>
      </w:pPr>
      <w:r>
        <w:rPr/>
        <w:t>Valuation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>
          <w:spacing w:val="-2"/>
        </w:rPr>
        <w:t>project</w:t>
      </w:r>
    </w:p>
    <w:p>
      <w:pPr>
        <w:pStyle w:val="BodyText"/>
        <w:spacing w:line="249" w:lineRule="auto" w:before="235"/>
        <w:ind w:left="345" w:right="76"/>
      </w:pPr>
      <w:r>
        <w:rPr/>
        <w:t>Our</w:t>
      </w:r>
      <w:r>
        <w:rPr>
          <w:spacing w:val="-3"/>
        </w:rPr>
        <w:t> </w:t>
      </w:r>
      <w:r>
        <w:rPr/>
        <w:t>calculations are</w:t>
      </w:r>
      <w:r>
        <w:rPr>
          <w:spacing w:val="-5"/>
        </w:rPr>
        <w:t> </w:t>
      </w:r>
      <w:r>
        <w:rPr/>
        <w:t>set out</w:t>
      </w:r>
      <w:r>
        <w:rPr>
          <w:spacing w:val="-5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table below, noting that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cash flow</w:t>
      </w:r>
      <w:r>
        <w:rPr>
          <w:spacing w:val="-2"/>
        </w:rPr>
        <w:t> </w:t>
      </w:r>
      <w:r>
        <w:rPr/>
        <w:t>forecasts</w:t>
      </w:r>
      <w:r>
        <w:rPr>
          <w:spacing w:val="-2"/>
        </w:rPr>
        <w:t> </w:t>
      </w:r>
      <w:r>
        <w:rPr/>
        <w:t>provided by Management can be</w:t>
      </w:r>
      <w:r>
        <w:rPr>
          <w:spacing w:val="-2"/>
        </w:rPr>
        <w:t> </w:t>
      </w:r>
      <w:r>
        <w:rPr/>
        <w:t>found in</w:t>
      </w:r>
      <w:r>
        <w:rPr>
          <w:spacing w:val="-9"/>
        </w:rPr>
        <w:t> </w:t>
      </w:r>
      <w:r>
        <w:rPr/>
        <w:t>Section</w:t>
      </w:r>
      <w:r>
        <w:rPr>
          <w:spacing w:val="-9"/>
        </w:rPr>
        <w:t> </w:t>
      </w:r>
      <w:r>
        <w:rPr/>
        <w:t>4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Financial</w:t>
      </w:r>
      <w:r>
        <w:rPr>
          <w:spacing w:val="-9"/>
        </w:rPr>
        <w:t> </w:t>
      </w:r>
      <w:r>
        <w:rPr/>
        <w:t>Information.</w:t>
      </w:r>
    </w:p>
    <w:p>
      <w:pPr>
        <w:pStyle w:val="BodyText"/>
        <w:spacing w:before="9"/>
        <w:rPr>
          <w:sz w:val="17"/>
        </w:rPr>
      </w:pPr>
    </w:p>
    <w:tbl>
      <w:tblPr>
        <w:tblW w:w="0" w:type="auto"/>
        <w:jc w:val="left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0"/>
        <w:gridCol w:w="853"/>
        <w:gridCol w:w="1036"/>
        <w:gridCol w:w="1153"/>
        <w:gridCol w:w="1067"/>
        <w:gridCol w:w="1015"/>
        <w:gridCol w:w="1127"/>
        <w:gridCol w:w="1065"/>
        <w:gridCol w:w="1066"/>
        <w:gridCol w:w="1069"/>
        <w:gridCol w:w="1055"/>
        <w:gridCol w:w="1053"/>
      </w:tblGrid>
      <w:tr>
        <w:trPr>
          <w:trHeight w:val="575" w:hRule="atLeast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08" w:lineRule="auto"/>
              <w:ind w:left="32" w:right="291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2"/>
                <w:sz w:val="17"/>
              </w:rPr>
              <w:t>Trees4Good </w:t>
            </w:r>
            <w:r>
              <w:rPr>
                <w:rFonts w:ascii="Tahoma"/>
                <w:b/>
                <w:spacing w:val="-6"/>
                <w:sz w:val="17"/>
              </w:rPr>
              <w:t>Discount</w:t>
            </w:r>
            <w:r>
              <w:rPr>
                <w:rFonts w:ascii="Tahoma"/>
                <w:b/>
                <w:spacing w:val="-7"/>
                <w:sz w:val="17"/>
              </w:rPr>
              <w:t> </w:t>
            </w:r>
            <w:r>
              <w:rPr>
                <w:rFonts w:ascii="Tahoma"/>
                <w:b/>
                <w:spacing w:val="-6"/>
                <w:sz w:val="17"/>
              </w:rPr>
              <w:t>Rate</w:t>
            </w:r>
          </w:p>
          <w:p>
            <w:pPr>
              <w:pStyle w:val="TableParagraph"/>
              <w:spacing w:line="177" w:lineRule="exact" w:before="21"/>
              <w:ind w:left="32"/>
              <w:rPr>
                <w:sz w:val="17"/>
              </w:rPr>
            </w:pPr>
            <w:r>
              <w:rPr>
                <w:spacing w:val="-4"/>
                <w:sz w:val="17"/>
              </w:rPr>
              <w:t>Year</w:t>
            </w:r>
          </w:p>
        </w:tc>
        <w:tc>
          <w:tcPr>
            <w:tcW w:w="8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46"/>
              <w:ind w:left="276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4"/>
                <w:w w:val="95"/>
                <w:sz w:val="17"/>
              </w:rPr>
              <w:t>10.0%</w:t>
            </w:r>
          </w:p>
        </w:tc>
        <w:tc>
          <w:tcPr>
            <w:tcW w:w="10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14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97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2</w:t>
            </w:r>
          </w:p>
        </w:tc>
        <w:tc>
          <w:tcPr>
            <w:tcW w:w="10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96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40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4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tabs>
                <w:tab w:pos="2001" w:val="left" w:leader="none"/>
              </w:tabs>
              <w:spacing w:line="177" w:lineRule="exact" w:before="1"/>
              <w:ind w:left="931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5</w:t>
            </w:r>
            <w:r>
              <w:rPr>
                <w:sz w:val="17"/>
              </w:rPr>
              <w:tab/>
            </w:r>
            <w:r>
              <w:rPr>
                <w:spacing w:val="-10"/>
                <w:w w:val="95"/>
                <w:sz w:val="17"/>
              </w:rPr>
              <w:t>6</w:t>
            </w:r>
          </w:p>
        </w:tc>
        <w:tc>
          <w:tcPr>
            <w:tcW w:w="10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92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7</w:t>
            </w:r>
          </w:p>
        </w:tc>
        <w:tc>
          <w:tcPr>
            <w:tcW w:w="10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90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8</w:t>
            </w:r>
          </w:p>
        </w:tc>
        <w:tc>
          <w:tcPr>
            <w:tcW w:w="10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75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9</w:t>
            </w:r>
          </w:p>
        </w:tc>
        <w:tc>
          <w:tcPr>
            <w:tcW w:w="1053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71"/>
              <w:rPr>
                <w:sz w:val="17"/>
              </w:rPr>
            </w:pPr>
          </w:p>
          <w:p>
            <w:pPr>
              <w:pStyle w:val="TableParagraph"/>
              <w:spacing w:line="177" w:lineRule="exact" w:before="1"/>
              <w:ind w:right="41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10</w:t>
            </w:r>
          </w:p>
        </w:tc>
      </w:tr>
      <w:tr>
        <w:trPr>
          <w:trHeight w:val="585" w:hRule="atLeast"/>
        </w:trPr>
        <w:tc>
          <w:tcPr>
            <w:tcW w:w="2010" w:type="dxa"/>
            <w:tcBorders>
              <w:left w:val="single" w:sz="4" w:space="0" w:color="000000"/>
            </w:tcBorders>
            <w:shd w:val="clear" w:color="auto" w:fill="0F059E"/>
          </w:tcPr>
          <w:p>
            <w:pPr>
              <w:pStyle w:val="TableParagraph"/>
              <w:spacing w:line="184" w:lineRule="exact"/>
              <w:ind w:left="32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2"/>
                <w:sz w:val="17"/>
              </w:rPr>
              <w:t>Trees4Good</w:t>
            </w:r>
          </w:p>
          <w:p>
            <w:pPr>
              <w:pStyle w:val="TableParagraph"/>
              <w:spacing w:before="23"/>
              <w:ind w:left="32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Year</w:t>
            </w:r>
            <w:r>
              <w:rPr>
                <w:rFonts w:ascii="Tahoma"/>
                <w:b/>
                <w:color w:val="FFFFFF"/>
                <w:spacing w:val="-3"/>
                <w:sz w:val="17"/>
              </w:rPr>
              <w:t> 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end</w:t>
            </w:r>
          </w:p>
        </w:tc>
        <w:tc>
          <w:tcPr>
            <w:tcW w:w="1889" w:type="dxa"/>
            <w:gridSpan w:val="2"/>
            <w:shd w:val="clear" w:color="auto" w:fill="0F059E"/>
          </w:tcPr>
          <w:p>
            <w:pPr>
              <w:pStyle w:val="TableParagraph"/>
              <w:spacing w:line="200" w:lineRule="exact" w:before="190"/>
              <w:ind w:right="14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25</w:t>
            </w:r>
          </w:p>
          <w:p>
            <w:pPr>
              <w:pStyle w:val="TableParagraph"/>
              <w:spacing w:line="176" w:lineRule="exact"/>
              <w:ind w:right="13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153" w:type="dxa"/>
            <w:shd w:val="clear" w:color="auto" w:fill="0F059E"/>
          </w:tcPr>
          <w:p>
            <w:pPr>
              <w:pStyle w:val="TableParagraph"/>
              <w:spacing w:line="200" w:lineRule="exact" w:before="190"/>
              <w:ind w:right="96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26</w:t>
            </w:r>
          </w:p>
          <w:p>
            <w:pPr>
              <w:pStyle w:val="TableParagraph"/>
              <w:spacing w:line="176" w:lineRule="exact"/>
              <w:ind w:right="96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067" w:type="dxa"/>
            <w:shd w:val="clear" w:color="auto" w:fill="0F059E"/>
          </w:tcPr>
          <w:p>
            <w:pPr>
              <w:pStyle w:val="TableParagraph"/>
              <w:spacing w:line="200" w:lineRule="exact" w:before="190"/>
              <w:ind w:right="95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6"/>
                <w:sz w:val="17"/>
              </w:rPr>
              <w:t>31-Dec-27</w:t>
            </w:r>
          </w:p>
          <w:p>
            <w:pPr>
              <w:pStyle w:val="TableParagraph"/>
              <w:spacing w:line="176" w:lineRule="exact"/>
              <w:ind w:right="95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015" w:type="dxa"/>
            <w:shd w:val="clear" w:color="auto" w:fill="0F059E"/>
          </w:tcPr>
          <w:p>
            <w:pPr>
              <w:pStyle w:val="TableParagraph"/>
              <w:spacing w:line="200" w:lineRule="exact" w:before="190"/>
              <w:ind w:right="39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28</w:t>
            </w:r>
          </w:p>
          <w:p>
            <w:pPr>
              <w:pStyle w:val="TableParagraph"/>
              <w:spacing w:line="176" w:lineRule="exact"/>
              <w:ind w:right="39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2192" w:type="dxa"/>
            <w:gridSpan w:val="2"/>
            <w:shd w:val="clear" w:color="auto" w:fill="0F059E"/>
          </w:tcPr>
          <w:p>
            <w:pPr>
              <w:pStyle w:val="TableParagraph"/>
              <w:spacing w:line="184" w:lineRule="exact"/>
              <w:ind w:right="129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z w:val="17"/>
              </w:rPr>
              <w:t>Management</w:t>
            </w:r>
            <w:r>
              <w:rPr>
                <w:rFonts w:ascii="Tahoma"/>
                <w:b/>
                <w:color w:val="FFFFFF"/>
                <w:spacing w:val="-4"/>
                <w:sz w:val="17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17"/>
              </w:rPr>
              <w:t>Projection</w:t>
            </w:r>
          </w:p>
          <w:p>
            <w:pPr>
              <w:pStyle w:val="TableParagraph"/>
              <w:tabs>
                <w:tab w:pos="1067" w:val="left" w:leader="none"/>
              </w:tabs>
              <w:spacing w:line="200" w:lineRule="exact" w:before="6"/>
              <w:ind w:right="92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6"/>
                <w:sz w:val="17"/>
              </w:rPr>
              <w:t>31-Dec-29</w:t>
            </w:r>
            <w:r>
              <w:rPr>
                <w:rFonts w:ascii="Tahoma"/>
                <w:b/>
                <w:color w:val="FFFFFF"/>
                <w:sz w:val="17"/>
              </w:rPr>
              <w:tab/>
            </w: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30</w:t>
            </w:r>
          </w:p>
          <w:p>
            <w:pPr>
              <w:pStyle w:val="TableParagraph"/>
              <w:tabs>
                <w:tab w:pos="1070" w:val="left" w:leader="none"/>
              </w:tabs>
              <w:spacing w:line="176" w:lineRule="exact"/>
              <w:ind w:right="93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  <w:r>
              <w:rPr>
                <w:rFonts w:ascii="Tahoma" w:hAnsi="Tahoma"/>
                <w:b/>
                <w:color w:val="FFFFFF"/>
                <w:sz w:val="17"/>
              </w:rPr>
              <w:tab/>
            </w: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066" w:type="dxa"/>
            <w:shd w:val="clear" w:color="auto" w:fill="0F059E"/>
          </w:tcPr>
          <w:p>
            <w:pPr>
              <w:pStyle w:val="TableParagraph"/>
              <w:spacing w:line="200" w:lineRule="exact" w:before="190"/>
              <w:ind w:right="91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31</w:t>
            </w:r>
          </w:p>
          <w:p>
            <w:pPr>
              <w:pStyle w:val="TableParagraph"/>
              <w:spacing w:line="176" w:lineRule="exact"/>
              <w:ind w:right="91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069" w:type="dxa"/>
            <w:shd w:val="clear" w:color="auto" w:fill="0F059E"/>
          </w:tcPr>
          <w:p>
            <w:pPr>
              <w:pStyle w:val="TableParagraph"/>
              <w:spacing w:line="200" w:lineRule="exact" w:before="190"/>
              <w:ind w:right="89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32</w:t>
            </w:r>
          </w:p>
          <w:p>
            <w:pPr>
              <w:pStyle w:val="TableParagraph"/>
              <w:spacing w:line="176" w:lineRule="exact"/>
              <w:ind w:right="89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055" w:type="dxa"/>
            <w:shd w:val="clear" w:color="auto" w:fill="0F059E"/>
          </w:tcPr>
          <w:p>
            <w:pPr>
              <w:pStyle w:val="TableParagraph"/>
              <w:spacing w:line="200" w:lineRule="exact" w:before="190"/>
              <w:ind w:right="74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33</w:t>
            </w:r>
          </w:p>
          <w:p>
            <w:pPr>
              <w:pStyle w:val="TableParagraph"/>
              <w:spacing w:line="176" w:lineRule="exact"/>
              <w:ind w:right="74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  <w:tc>
          <w:tcPr>
            <w:tcW w:w="1053" w:type="dxa"/>
            <w:tcBorders>
              <w:right w:val="single" w:sz="8" w:space="0" w:color="000000"/>
            </w:tcBorders>
            <w:shd w:val="clear" w:color="auto" w:fill="0F059E"/>
          </w:tcPr>
          <w:p>
            <w:pPr>
              <w:pStyle w:val="TableParagraph"/>
              <w:spacing w:line="200" w:lineRule="exact" w:before="190"/>
              <w:ind w:right="39"/>
              <w:jc w:val="right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color w:val="FFFFFF"/>
                <w:spacing w:val="-4"/>
                <w:sz w:val="17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7"/>
              </w:rPr>
              <w:t>34</w:t>
            </w:r>
          </w:p>
          <w:p>
            <w:pPr>
              <w:pStyle w:val="TableParagraph"/>
              <w:spacing w:line="176" w:lineRule="exact"/>
              <w:ind w:right="39"/>
              <w:jc w:val="right"/>
              <w:rPr>
                <w:rFonts w:ascii="Tahoma" w:hAnsi="Tahoma"/>
                <w:b/>
                <w:sz w:val="17"/>
              </w:rPr>
            </w:pPr>
            <w:r>
              <w:rPr>
                <w:rFonts w:ascii="Tahoma" w:hAnsi="Tahoma"/>
                <w:b/>
                <w:color w:val="FFFFFF"/>
                <w:spacing w:val="-10"/>
                <w:w w:val="95"/>
                <w:sz w:val="17"/>
              </w:rPr>
              <w:t>£</w:t>
            </w:r>
          </w:p>
        </w:tc>
      </w:tr>
      <w:tr>
        <w:trPr>
          <w:trHeight w:val="306" w:hRule="atLeast"/>
        </w:trPr>
        <w:tc>
          <w:tcPr>
            <w:tcW w:w="201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32"/>
              <w:rPr>
                <w:sz w:val="17"/>
              </w:rPr>
            </w:pPr>
            <w:r>
              <w:rPr>
                <w:spacing w:val="-5"/>
                <w:sz w:val="17"/>
              </w:rPr>
              <w:t>Free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Cashflows</w:t>
            </w:r>
          </w:p>
        </w:tc>
        <w:tc>
          <w:tcPr>
            <w:tcW w:w="1889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1150"/>
              <w:rPr>
                <w:sz w:val="17"/>
              </w:rPr>
            </w:pPr>
            <w:r>
              <w:rPr>
                <w:spacing w:val="-2"/>
                <w:w w:val="85"/>
                <w:sz w:val="17"/>
              </w:rPr>
              <w:t>(112,000)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149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69,000</w:t>
            </w:r>
          </w:p>
        </w:tc>
        <w:tc>
          <w:tcPr>
            <w:tcW w:w="10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179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1,427,000</w:t>
            </w:r>
          </w:p>
        </w:tc>
        <w:tc>
          <w:tcPr>
            <w:tcW w:w="10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90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4,562,000</w:t>
            </w:r>
          </w:p>
        </w:tc>
        <w:tc>
          <w:tcPr>
            <w:tcW w:w="112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150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4,404,000</w:t>
            </w:r>
          </w:p>
        </w:tc>
        <w:tc>
          <w:tcPr>
            <w:tcW w:w="106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144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4,250,000</w:t>
            </w:r>
          </w:p>
        </w:tc>
        <w:tc>
          <w:tcPr>
            <w:tcW w:w="10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184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5,350,000</w:t>
            </w:r>
          </w:p>
        </w:tc>
        <w:tc>
          <w:tcPr>
            <w:tcW w:w="106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140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4,050,000</w:t>
            </w:r>
          </w:p>
        </w:tc>
        <w:tc>
          <w:tcPr>
            <w:tcW w:w="105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127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2,450,000</w:t>
            </w:r>
          </w:p>
        </w:tc>
        <w:tc>
          <w:tcPr>
            <w:tcW w:w="1053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64"/>
              <w:ind w:right="92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10,150,000</w:t>
            </w:r>
          </w:p>
        </w:tc>
      </w:tr>
      <w:tr>
        <w:trPr>
          <w:trHeight w:val="217" w:hRule="atLeast"/>
        </w:trPr>
        <w:tc>
          <w:tcPr>
            <w:tcW w:w="2010" w:type="dxa"/>
            <w:tcBorders>
              <w:top w:val="single" w:sz="6" w:space="0" w:color="000000"/>
              <w:left w:val="single" w:sz="4" w:space="0" w:color="000000"/>
            </w:tcBorders>
          </w:tcPr>
          <w:p>
            <w:pPr>
              <w:pStyle w:val="TableParagraph"/>
              <w:spacing w:line="173" w:lineRule="exact" w:before="24"/>
              <w:ind w:left="32"/>
              <w:rPr>
                <w:sz w:val="17"/>
              </w:rPr>
            </w:pPr>
            <w:r>
              <w:rPr>
                <w:spacing w:val="-4"/>
                <w:sz w:val="17"/>
              </w:rPr>
              <w:t>Part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4"/>
                <w:sz w:val="17"/>
              </w:rPr>
              <w:t>Year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64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0.8</w:t>
            </w:r>
          </w:p>
        </w:tc>
        <w:tc>
          <w:tcPr>
            <w:tcW w:w="1153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49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6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46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1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91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12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50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6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44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42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6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41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5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73" w:lineRule="exact" w:before="24"/>
              <w:ind w:right="128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  <w:tc>
          <w:tcPr>
            <w:tcW w:w="1053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73" w:lineRule="exact" w:before="24"/>
              <w:ind w:right="93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1</w:t>
            </w:r>
          </w:p>
        </w:tc>
      </w:tr>
      <w:tr>
        <w:trPr>
          <w:trHeight w:val="177" w:hRule="atLeast"/>
        </w:trPr>
        <w:tc>
          <w:tcPr>
            <w:tcW w:w="201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58" w:lineRule="exact"/>
              <w:ind w:left="32"/>
              <w:rPr>
                <w:sz w:val="17"/>
              </w:rPr>
            </w:pPr>
            <w:r>
              <w:rPr>
                <w:sz w:val="17"/>
              </w:rPr>
              <w:t>PV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months</w:t>
            </w:r>
          </w:p>
        </w:tc>
        <w:tc>
          <w:tcPr>
            <w:tcW w:w="1889" w:type="dxa"/>
            <w:gridSpan w:val="2"/>
          </w:tcPr>
          <w:p>
            <w:pPr>
              <w:pStyle w:val="TableParagraph"/>
              <w:spacing w:line="158" w:lineRule="exact"/>
              <w:ind w:right="64"/>
              <w:jc w:val="right"/>
              <w:rPr>
                <w:sz w:val="17"/>
              </w:rPr>
            </w:pPr>
            <w:r>
              <w:rPr>
                <w:spacing w:val="-10"/>
                <w:w w:val="95"/>
                <w:sz w:val="17"/>
              </w:rPr>
              <w:t>9</w:t>
            </w:r>
          </w:p>
        </w:tc>
        <w:tc>
          <w:tcPr>
            <w:tcW w:w="1153" w:type="dxa"/>
          </w:tcPr>
          <w:p>
            <w:pPr>
              <w:pStyle w:val="TableParagraph"/>
              <w:spacing w:line="158" w:lineRule="exact"/>
              <w:ind w:right="149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24</w:t>
            </w:r>
          </w:p>
        </w:tc>
        <w:tc>
          <w:tcPr>
            <w:tcW w:w="1067" w:type="dxa"/>
          </w:tcPr>
          <w:p>
            <w:pPr>
              <w:pStyle w:val="TableParagraph"/>
              <w:spacing w:line="158" w:lineRule="exact"/>
              <w:ind w:right="146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36</w:t>
            </w:r>
          </w:p>
        </w:tc>
        <w:tc>
          <w:tcPr>
            <w:tcW w:w="1015" w:type="dxa"/>
          </w:tcPr>
          <w:p>
            <w:pPr>
              <w:pStyle w:val="TableParagraph"/>
              <w:spacing w:line="158" w:lineRule="exact"/>
              <w:ind w:right="91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48</w:t>
            </w:r>
          </w:p>
        </w:tc>
        <w:tc>
          <w:tcPr>
            <w:tcW w:w="1127" w:type="dxa"/>
          </w:tcPr>
          <w:p>
            <w:pPr>
              <w:pStyle w:val="TableParagraph"/>
              <w:spacing w:line="158" w:lineRule="exact"/>
              <w:ind w:right="150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60</w:t>
            </w:r>
          </w:p>
        </w:tc>
        <w:tc>
          <w:tcPr>
            <w:tcW w:w="1065" w:type="dxa"/>
          </w:tcPr>
          <w:p>
            <w:pPr>
              <w:pStyle w:val="TableParagraph"/>
              <w:spacing w:line="158" w:lineRule="exact"/>
              <w:ind w:right="144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72</w:t>
            </w:r>
          </w:p>
        </w:tc>
        <w:tc>
          <w:tcPr>
            <w:tcW w:w="1066" w:type="dxa"/>
          </w:tcPr>
          <w:p>
            <w:pPr>
              <w:pStyle w:val="TableParagraph"/>
              <w:spacing w:line="158" w:lineRule="exact"/>
              <w:ind w:right="142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84</w:t>
            </w:r>
          </w:p>
        </w:tc>
        <w:tc>
          <w:tcPr>
            <w:tcW w:w="1069" w:type="dxa"/>
          </w:tcPr>
          <w:p>
            <w:pPr>
              <w:pStyle w:val="TableParagraph"/>
              <w:spacing w:line="158" w:lineRule="exact"/>
              <w:ind w:right="141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96</w:t>
            </w:r>
          </w:p>
        </w:tc>
        <w:tc>
          <w:tcPr>
            <w:tcW w:w="1055" w:type="dxa"/>
          </w:tcPr>
          <w:p>
            <w:pPr>
              <w:pStyle w:val="TableParagraph"/>
              <w:spacing w:line="158" w:lineRule="exact"/>
              <w:ind w:right="128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108</w:t>
            </w:r>
          </w:p>
        </w:tc>
        <w:tc>
          <w:tcPr>
            <w:tcW w:w="105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58" w:lineRule="exact"/>
              <w:ind w:right="93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120</w:t>
            </w:r>
          </w:p>
        </w:tc>
      </w:tr>
      <w:tr>
        <w:trPr>
          <w:trHeight w:val="177" w:hRule="atLeast"/>
        </w:trPr>
        <w:tc>
          <w:tcPr>
            <w:tcW w:w="201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58" w:lineRule="exact"/>
              <w:ind w:left="32"/>
              <w:rPr>
                <w:sz w:val="17"/>
              </w:rPr>
            </w:pPr>
            <w:r>
              <w:rPr>
                <w:sz w:val="17"/>
              </w:rPr>
              <w:t>PV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Years</w:t>
            </w:r>
          </w:p>
        </w:tc>
        <w:tc>
          <w:tcPr>
            <w:tcW w:w="1889" w:type="dxa"/>
            <w:gridSpan w:val="2"/>
          </w:tcPr>
          <w:p>
            <w:pPr>
              <w:pStyle w:val="TableParagraph"/>
              <w:spacing w:line="158" w:lineRule="exact"/>
              <w:ind w:right="64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0.8</w:t>
            </w:r>
          </w:p>
        </w:tc>
        <w:tc>
          <w:tcPr>
            <w:tcW w:w="1153" w:type="dxa"/>
          </w:tcPr>
          <w:p>
            <w:pPr>
              <w:pStyle w:val="TableParagraph"/>
              <w:spacing w:line="158" w:lineRule="exact"/>
              <w:ind w:right="150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2.0</w:t>
            </w:r>
          </w:p>
        </w:tc>
        <w:tc>
          <w:tcPr>
            <w:tcW w:w="1067" w:type="dxa"/>
          </w:tcPr>
          <w:p>
            <w:pPr>
              <w:pStyle w:val="TableParagraph"/>
              <w:spacing w:line="158" w:lineRule="exact"/>
              <w:ind w:right="145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3.0</w:t>
            </w:r>
          </w:p>
        </w:tc>
        <w:tc>
          <w:tcPr>
            <w:tcW w:w="1015" w:type="dxa"/>
          </w:tcPr>
          <w:p>
            <w:pPr>
              <w:pStyle w:val="TableParagraph"/>
              <w:spacing w:line="158" w:lineRule="exact"/>
              <w:ind w:right="90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4.0</w:t>
            </w:r>
          </w:p>
        </w:tc>
        <w:tc>
          <w:tcPr>
            <w:tcW w:w="1127" w:type="dxa"/>
          </w:tcPr>
          <w:p>
            <w:pPr>
              <w:pStyle w:val="TableParagraph"/>
              <w:spacing w:line="158" w:lineRule="exact"/>
              <w:ind w:right="150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5.0</w:t>
            </w:r>
          </w:p>
        </w:tc>
        <w:tc>
          <w:tcPr>
            <w:tcW w:w="1065" w:type="dxa"/>
          </w:tcPr>
          <w:p>
            <w:pPr>
              <w:pStyle w:val="TableParagraph"/>
              <w:spacing w:line="158" w:lineRule="exact"/>
              <w:ind w:right="143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6.0</w:t>
            </w:r>
          </w:p>
        </w:tc>
        <w:tc>
          <w:tcPr>
            <w:tcW w:w="1066" w:type="dxa"/>
          </w:tcPr>
          <w:p>
            <w:pPr>
              <w:pStyle w:val="TableParagraph"/>
              <w:spacing w:line="158" w:lineRule="exact"/>
              <w:ind w:right="142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7.0</w:t>
            </w:r>
          </w:p>
        </w:tc>
        <w:tc>
          <w:tcPr>
            <w:tcW w:w="1069" w:type="dxa"/>
          </w:tcPr>
          <w:p>
            <w:pPr>
              <w:pStyle w:val="TableParagraph"/>
              <w:spacing w:line="158" w:lineRule="exact"/>
              <w:ind w:right="140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8.0</w:t>
            </w:r>
          </w:p>
        </w:tc>
        <w:tc>
          <w:tcPr>
            <w:tcW w:w="1055" w:type="dxa"/>
          </w:tcPr>
          <w:p>
            <w:pPr>
              <w:pStyle w:val="TableParagraph"/>
              <w:spacing w:line="158" w:lineRule="exact"/>
              <w:ind w:right="128"/>
              <w:jc w:val="right"/>
              <w:rPr>
                <w:sz w:val="17"/>
              </w:rPr>
            </w:pPr>
            <w:r>
              <w:rPr>
                <w:spacing w:val="-5"/>
                <w:w w:val="95"/>
                <w:sz w:val="17"/>
              </w:rPr>
              <w:t>9.0</w:t>
            </w:r>
          </w:p>
        </w:tc>
        <w:tc>
          <w:tcPr>
            <w:tcW w:w="105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58" w:lineRule="exact"/>
              <w:ind w:right="94"/>
              <w:jc w:val="right"/>
              <w:rPr>
                <w:sz w:val="17"/>
              </w:rPr>
            </w:pPr>
            <w:r>
              <w:rPr>
                <w:spacing w:val="-4"/>
                <w:w w:val="95"/>
                <w:sz w:val="17"/>
              </w:rPr>
              <w:t>10.0</w:t>
            </w:r>
          </w:p>
        </w:tc>
      </w:tr>
      <w:tr>
        <w:trPr>
          <w:trHeight w:val="201" w:hRule="atLeast"/>
        </w:trPr>
        <w:tc>
          <w:tcPr>
            <w:tcW w:w="201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2" w:lineRule="exact"/>
              <w:ind w:left="32"/>
              <w:rPr>
                <w:sz w:val="17"/>
              </w:rPr>
            </w:pPr>
            <w:r>
              <w:rPr>
                <w:sz w:val="17"/>
              </w:rPr>
              <w:t>PV</w:t>
            </w:r>
            <w:r>
              <w:rPr>
                <w:spacing w:val="-1"/>
                <w:sz w:val="17"/>
              </w:rPr>
              <w:t> </w:t>
            </w:r>
            <w:r>
              <w:rPr>
                <w:spacing w:val="-2"/>
                <w:sz w:val="17"/>
              </w:rPr>
              <w:t>Factor</w:t>
            </w:r>
          </w:p>
        </w:tc>
        <w:tc>
          <w:tcPr>
            <w:tcW w:w="1889" w:type="dxa"/>
            <w:gridSpan w:val="2"/>
          </w:tcPr>
          <w:p>
            <w:pPr>
              <w:pStyle w:val="TableParagraph"/>
              <w:spacing w:line="182" w:lineRule="exact"/>
              <w:ind w:right="65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0.931</w:t>
            </w:r>
          </w:p>
        </w:tc>
        <w:tc>
          <w:tcPr>
            <w:tcW w:w="1153" w:type="dxa"/>
          </w:tcPr>
          <w:p>
            <w:pPr>
              <w:pStyle w:val="TableParagraph"/>
              <w:spacing w:line="182" w:lineRule="exact"/>
              <w:ind w:right="148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0.826</w:t>
            </w:r>
          </w:p>
        </w:tc>
        <w:tc>
          <w:tcPr>
            <w:tcW w:w="1067" w:type="dxa"/>
          </w:tcPr>
          <w:p>
            <w:pPr>
              <w:pStyle w:val="TableParagraph"/>
              <w:spacing w:line="182" w:lineRule="exact"/>
              <w:ind w:right="145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0.751</w:t>
            </w:r>
          </w:p>
        </w:tc>
        <w:tc>
          <w:tcPr>
            <w:tcW w:w="1015" w:type="dxa"/>
          </w:tcPr>
          <w:p>
            <w:pPr>
              <w:pStyle w:val="TableParagraph"/>
              <w:spacing w:line="182" w:lineRule="exact"/>
              <w:ind w:right="90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0.683</w:t>
            </w:r>
          </w:p>
        </w:tc>
        <w:tc>
          <w:tcPr>
            <w:tcW w:w="1127" w:type="dxa"/>
          </w:tcPr>
          <w:p>
            <w:pPr>
              <w:pStyle w:val="TableParagraph"/>
              <w:spacing w:line="182" w:lineRule="exact"/>
              <w:ind w:right="149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0.621</w:t>
            </w:r>
          </w:p>
        </w:tc>
        <w:tc>
          <w:tcPr>
            <w:tcW w:w="1065" w:type="dxa"/>
          </w:tcPr>
          <w:p>
            <w:pPr>
              <w:pStyle w:val="TableParagraph"/>
              <w:spacing w:line="182" w:lineRule="exact"/>
              <w:ind w:right="144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0.564</w:t>
            </w:r>
          </w:p>
        </w:tc>
        <w:tc>
          <w:tcPr>
            <w:tcW w:w="1066" w:type="dxa"/>
          </w:tcPr>
          <w:p>
            <w:pPr>
              <w:pStyle w:val="TableParagraph"/>
              <w:spacing w:line="182" w:lineRule="exact"/>
              <w:ind w:right="143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0.513</w:t>
            </w:r>
          </w:p>
        </w:tc>
        <w:tc>
          <w:tcPr>
            <w:tcW w:w="1069" w:type="dxa"/>
          </w:tcPr>
          <w:p>
            <w:pPr>
              <w:pStyle w:val="TableParagraph"/>
              <w:spacing w:line="182" w:lineRule="exact"/>
              <w:ind w:right="141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0.467</w:t>
            </w:r>
          </w:p>
        </w:tc>
        <w:tc>
          <w:tcPr>
            <w:tcW w:w="1055" w:type="dxa"/>
          </w:tcPr>
          <w:p>
            <w:pPr>
              <w:pStyle w:val="TableParagraph"/>
              <w:spacing w:line="182" w:lineRule="exact"/>
              <w:ind w:right="127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0.424</w:t>
            </w:r>
          </w:p>
        </w:tc>
        <w:tc>
          <w:tcPr>
            <w:tcW w:w="105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82" w:lineRule="exact"/>
              <w:ind w:right="94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0.386</w:t>
            </w:r>
          </w:p>
        </w:tc>
      </w:tr>
      <w:tr>
        <w:trPr>
          <w:trHeight w:val="254" w:hRule="atLeast"/>
        </w:trPr>
        <w:tc>
          <w:tcPr>
            <w:tcW w:w="2010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ind w:left="32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2"/>
                <w:sz w:val="17"/>
              </w:rPr>
              <w:t>PV</w:t>
            </w:r>
            <w:r>
              <w:rPr>
                <w:rFonts w:ascii="Tahoma"/>
                <w:b/>
                <w:spacing w:val="-10"/>
                <w:sz w:val="17"/>
              </w:rPr>
              <w:t> </w:t>
            </w:r>
            <w:r>
              <w:rPr>
                <w:rFonts w:ascii="Tahoma"/>
                <w:b/>
                <w:spacing w:val="-2"/>
                <w:sz w:val="17"/>
              </w:rPr>
              <w:t>Cashflows</w:t>
            </w:r>
          </w:p>
        </w:tc>
        <w:tc>
          <w:tcPr>
            <w:tcW w:w="1889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243"/>
              <w:rPr>
                <w:sz w:val="17"/>
              </w:rPr>
            </w:pPr>
            <w:r>
              <w:rPr>
                <w:spacing w:val="-2"/>
                <w:w w:val="85"/>
                <w:sz w:val="17"/>
              </w:rPr>
              <w:t>(78,205)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149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57,025</w:t>
            </w:r>
          </w:p>
        </w:tc>
        <w:tc>
          <w:tcPr>
            <w:tcW w:w="106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78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1,072,126</w:t>
            </w:r>
          </w:p>
        </w:tc>
        <w:tc>
          <w:tcPr>
            <w:tcW w:w="10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91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3,115,907</w:t>
            </w:r>
          </w:p>
        </w:tc>
        <w:tc>
          <w:tcPr>
            <w:tcW w:w="112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150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2,734,538</w:t>
            </w:r>
          </w:p>
        </w:tc>
        <w:tc>
          <w:tcPr>
            <w:tcW w:w="106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145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2,399,014</w:t>
            </w:r>
          </w:p>
        </w:tc>
        <w:tc>
          <w:tcPr>
            <w:tcW w:w="10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left="184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2,745,396</w:t>
            </w:r>
          </w:p>
        </w:tc>
        <w:tc>
          <w:tcPr>
            <w:tcW w:w="106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141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1,889,355</w:t>
            </w:r>
          </w:p>
        </w:tc>
        <w:tc>
          <w:tcPr>
            <w:tcW w:w="105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3"/>
              <w:ind w:right="128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1,039,039</w:t>
            </w:r>
          </w:p>
        </w:tc>
        <w:tc>
          <w:tcPr>
            <w:tcW w:w="1053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right="93"/>
              <w:jc w:val="right"/>
              <w:rPr>
                <w:sz w:val="17"/>
              </w:rPr>
            </w:pPr>
            <w:r>
              <w:rPr>
                <w:spacing w:val="-2"/>
                <w:w w:val="95"/>
                <w:sz w:val="17"/>
              </w:rPr>
              <w:t>3,913,264</w:t>
            </w:r>
          </w:p>
        </w:tc>
      </w:tr>
      <w:tr>
        <w:trPr>
          <w:trHeight w:val="196" w:hRule="atLeast"/>
        </w:trPr>
        <w:tc>
          <w:tcPr>
            <w:tcW w:w="201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line="175" w:lineRule="exact" w:before="1"/>
              <w:ind w:left="32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6"/>
                <w:sz w:val="17"/>
              </w:rPr>
              <w:t>Sum</w:t>
            </w:r>
            <w:r>
              <w:rPr>
                <w:rFonts w:ascii="Tahoma"/>
                <w:b/>
                <w:spacing w:val="-7"/>
                <w:sz w:val="17"/>
              </w:rPr>
              <w:t> </w:t>
            </w:r>
            <w:r>
              <w:rPr>
                <w:rFonts w:ascii="Tahoma"/>
                <w:b/>
                <w:spacing w:val="-6"/>
                <w:sz w:val="17"/>
              </w:rPr>
              <w:t>of</w:t>
            </w:r>
            <w:r>
              <w:rPr>
                <w:rFonts w:ascii="Tahoma"/>
                <w:b/>
                <w:spacing w:val="-2"/>
                <w:sz w:val="17"/>
              </w:rPr>
              <w:t> </w:t>
            </w:r>
            <w:r>
              <w:rPr>
                <w:rFonts w:ascii="Tahoma"/>
                <w:b/>
                <w:spacing w:val="-6"/>
                <w:sz w:val="17"/>
              </w:rPr>
              <w:t>PV</w:t>
            </w:r>
            <w:r>
              <w:rPr>
                <w:rFonts w:ascii="Tahoma"/>
                <w:b/>
                <w:spacing w:val="-7"/>
                <w:sz w:val="17"/>
              </w:rPr>
              <w:t> </w:t>
            </w:r>
            <w:r>
              <w:rPr>
                <w:rFonts w:ascii="Tahoma"/>
                <w:b/>
                <w:spacing w:val="-6"/>
                <w:sz w:val="17"/>
              </w:rPr>
              <w:t>Cashflows</w:t>
            </w:r>
          </w:p>
        </w:tc>
        <w:tc>
          <w:tcPr>
            <w:tcW w:w="188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5" w:lineRule="exact" w:before="1"/>
              <w:ind w:left="972"/>
              <w:rPr>
                <w:rFonts w:ascii="Tahoma"/>
                <w:b/>
                <w:sz w:val="17"/>
              </w:rPr>
            </w:pPr>
            <w:r>
              <w:rPr>
                <w:rFonts w:ascii="Tahoma"/>
                <w:b/>
                <w:spacing w:val="-2"/>
                <w:w w:val="90"/>
                <w:sz w:val="17"/>
              </w:rPr>
              <w:t>18,887,459</w:t>
            </w:r>
          </w:p>
        </w:tc>
        <w:tc>
          <w:tcPr>
            <w:tcW w:w="9670" w:type="dxa"/>
            <w:gridSpan w:val="9"/>
            <w:tcBorders>
              <w:top w:val="single" w:sz="6" w:space="0" w:color="000000"/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7" w:hRule="atLeast"/>
        </w:trPr>
        <w:tc>
          <w:tcPr>
            <w:tcW w:w="13569" w:type="dxa"/>
            <w:gridSpan w:val="1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line="249" w:lineRule="auto" w:before="244"/>
        <w:ind w:left="345" w:right="159"/>
      </w:pPr>
      <w:r>
        <w:rPr/>
        <w:t>Based</w:t>
      </w:r>
      <w:r>
        <w:rPr>
          <w:spacing w:val="-11"/>
        </w:rPr>
        <w:t> </w:t>
      </w:r>
      <w:r>
        <w:rPr/>
        <w:t>on</w:t>
      </w:r>
      <w:r>
        <w:rPr>
          <w:spacing w:val="-13"/>
        </w:rPr>
        <w:t> </w:t>
      </w:r>
      <w:r>
        <w:rPr/>
        <w:t>the</w:t>
      </w:r>
      <w:r>
        <w:rPr>
          <w:spacing w:val="-15"/>
        </w:rPr>
        <w:t> </w:t>
      </w:r>
      <w:r>
        <w:rPr/>
        <w:t>forecasts</w:t>
      </w:r>
      <w:r>
        <w:rPr>
          <w:spacing w:val="-12"/>
        </w:rPr>
        <w:t> </w:t>
      </w:r>
      <w:r>
        <w:rPr/>
        <w:t>provided</w:t>
      </w:r>
      <w:r>
        <w:rPr>
          <w:spacing w:val="-9"/>
        </w:rPr>
        <w:t> </w:t>
      </w:r>
      <w:r>
        <w:rPr/>
        <w:t>by</w:t>
      </w:r>
      <w:r>
        <w:rPr>
          <w:spacing w:val="-12"/>
        </w:rPr>
        <w:t> </w:t>
      </w:r>
      <w:r>
        <w:rPr/>
        <w:t>Management,</w:t>
      </w:r>
      <w:r>
        <w:rPr>
          <w:spacing w:val="-10"/>
        </w:rPr>
        <w:t> </w:t>
      </w:r>
      <w:r>
        <w:rPr/>
        <w:t>and</w:t>
      </w:r>
      <w:r>
        <w:rPr>
          <w:spacing w:val="-12"/>
        </w:rPr>
        <w:t> </w:t>
      </w:r>
      <w:r>
        <w:rPr/>
        <w:t>discount</w:t>
      </w:r>
      <w:r>
        <w:rPr>
          <w:spacing w:val="-15"/>
        </w:rPr>
        <w:t> </w:t>
      </w:r>
      <w:r>
        <w:rPr/>
        <w:t>rate</w:t>
      </w:r>
      <w:r>
        <w:rPr>
          <w:spacing w:val="-13"/>
        </w:rPr>
        <w:t> </w:t>
      </w:r>
      <w:r>
        <w:rPr/>
        <w:t>of</w:t>
      </w:r>
      <w:r>
        <w:rPr>
          <w:spacing w:val="-13"/>
        </w:rPr>
        <w:t> </w:t>
      </w:r>
      <w:r>
        <w:rPr/>
        <w:t>10.0%,</w:t>
      </w:r>
      <w:r>
        <w:rPr>
          <w:spacing w:val="-15"/>
        </w:rPr>
        <w:t> </w:t>
      </w:r>
      <w:r>
        <w:rPr/>
        <w:t>the</w:t>
      </w:r>
      <w:r>
        <w:rPr>
          <w:spacing w:val="-17"/>
        </w:rPr>
        <w:t> </w:t>
      </w:r>
      <w:r>
        <w:rPr/>
        <w:t>sum</w:t>
      </w:r>
      <w:r>
        <w:rPr>
          <w:spacing w:val="-13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net</w:t>
      </w:r>
      <w:r>
        <w:rPr>
          <w:spacing w:val="-15"/>
        </w:rPr>
        <w:t> </w:t>
      </w:r>
      <w:r>
        <w:rPr/>
        <w:t>present</w:t>
      </w:r>
      <w:r>
        <w:rPr>
          <w:spacing w:val="-13"/>
        </w:rPr>
        <w:t> </w:t>
      </w:r>
      <w:r>
        <w:rPr/>
        <w:t>value</w:t>
      </w:r>
      <w:r>
        <w:rPr>
          <w:spacing w:val="-15"/>
        </w:rPr>
        <w:t> </w:t>
      </w:r>
      <w:r>
        <w:rPr/>
        <w:t>of</w:t>
      </w:r>
      <w:r>
        <w:rPr>
          <w:spacing w:val="-16"/>
        </w:rPr>
        <w:t> </w:t>
      </w:r>
      <w:r>
        <w:rPr/>
        <w:t>cash </w:t>
      </w:r>
      <w:r>
        <w:rPr>
          <w:spacing w:val="-2"/>
        </w:rPr>
        <w:t>flows</w:t>
      </w:r>
      <w:r>
        <w:rPr>
          <w:spacing w:val="-18"/>
        </w:rPr>
        <w:t> </w:t>
      </w:r>
      <w:r>
        <w:rPr>
          <w:spacing w:val="-2"/>
        </w:rPr>
        <w:t>is</w:t>
      </w:r>
      <w:r>
        <w:rPr>
          <w:spacing w:val="-17"/>
        </w:rPr>
        <w:t> </w:t>
      </w:r>
      <w:r>
        <w:rPr>
          <w:spacing w:val="-2"/>
        </w:rPr>
        <w:t>£18.9m.</w:t>
      </w:r>
      <w:r>
        <w:rPr>
          <w:spacing w:val="-17"/>
        </w:rPr>
        <w:t> </w:t>
      </w:r>
      <w:r>
        <w:rPr>
          <w:spacing w:val="-2"/>
        </w:rPr>
        <w:t>This</w:t>
      </w:r>
      <w:r>
        <w:rPr>
          <w:spacing w:val="-18"/>
        </w:rPr>
        <w:t> </w:t>
      </w:r>
      <w:r>
        <w:rPr>
          <w:spacing w:val="-2"/>
        </w:rPr>
        <w:t>indicates</w:t>
      </w:r>
      <w:r>
        <w:rPr>
          <w:spacing w:val="-17"/>
        </w:rPr>
        <w:t> </w:t>
      </w:r>
      <w:r>
        <w:rPr>
          <w:spacing w:val="-2"/>
        </w:rPr>
        <w:t>a</w:t>
      </w:r>
      <w:r>
        <w:rPr>
          <w:spacing w:val="-18"/>
        </w:rPr>
        <w:t> </w:t>
      </w:r>
      <w:r>
        <w:rPr>
          <w:spacing w:val="-2"/>
        </w:rPr>
        <w:t>market</w:t>
      </w:r>
      <w:r>
        <w:rPr>
          <w:spacing w:val="-17"/>
        </w:rPr>
        <w:t> </w:t>
      </w:r>
      <w:r>
        <w:rPr>
          <w:spacing w:val="-2"/>
        </w:rPr>
        <w:t>value</w:t>
      </w:r>
      <w:r>
        <w:rPr>
          <w:spacing w:val="-17"/>
        </w:rPr>
        <w:t> </w:t>
      </w:r>
      <w:r>
        <w:rPr>
          <w:spacing w:val="-2"/>
        </w:rPr>
        <w:t>of</w:t>
      </w:r>
      <w:r>
        <w:rPr>
          <w:spacing w:val="-18"/>
        </w:rPr>
        <w:t> </w:t>
      </w:r>
      <w:r>
        <w:rPr>
          <w:spacing w:val="-2"/>
        </w:rPr>
        <w:t>£18.9m</w:t>
      </w:r>
      <w:r>
        <w:rPr>
          <w:spacing w:val="-16"/>
        </w:rPr>
        <w:t> </w:t>
      </w:r>
      <w:r>
        <w:rPr>
          <w:spacing w:val="-2"/>
        </w:rPr>
        <w:t>for</w:t>
      </w:r>
      <w:r>
        <w:rPr>
          <w:spacing w:val="-18"/>
        </w:rPr>
        <w:t> </w:t>
      </w:r>
      <w:r>
        <w:rPr>
          <w:spacing w:val="-2"/>
        </w:rPr>
        <w:t>the</w:t>
      </w:r>
      <w:r>
        <w:rPr>
          <w:spacing w:val="-17"/>
        </w:rPr>
        <w:t> </w:t>
      </w:r>
      <w:r>
        <w:rPr>
          <w:spacing w:val="-2"/>
        </w:rPr>
        <w:t>project.</w:t>
      </w:r>
    </w:p>
    <w:p>
      <w:pPr>
        <w:pStyle w:val="Heading2"/>
        <w:spacing w:before="227"/>
      </w:pPr>
      <w:r>
        <w:rPr>
          <w:spacing w:val="-5"/>
        </w:rPr>
        <w:t>Cross-</w:t>
      </w:r>
      <w:r>
        <w:rPr>
          <w:spacing w:val="-2"/>
        </w:rPr>
        <w:t>Check</w:t>
      </w:r>
    </w:p>
    <w:p>
      <w:pPr>
        <w:pStyle w:val="BodyText"/>
        <w:spacing w:line="249" w:lineRule="auto" w:before="233"/>
        <w:ind w:left="345"/>
      </w:pPr>
      <w:r>
        <w:rPr/>
        <w:t>Given</w:t>
      </w:r>
      <w:r>
        <w:rPr>
          <w:spacing w:val="-1"/>
        </w:rPr>
        <w:t> </w:t>
      </w:r>
      <w:r>
        <w:rPr/>
        <w:t>the</w:t>
      </w:r>
      <w:r>
        <w:rPr>
          <w:spacing w:val="-6"/>
        </w:rPr>
        <w:t> </w:t>
      </w:r>
      <w:r>
        <w:rPr/>
        <w:t>very</w:t>
      </w:r>
      <w:r>
        <w:rPr>
          <w:spacing w:val="-3"/>
        </w:rPr>
        <w:t> </w:t>
      </w:r>
      <w:r>
        <w:rPr/>
        <w:t>early</w:t>
      </w:r>
      <w:r>
        <w:rPr>
          <w:spacing w:val="-3"/>
        </w:rPr>
        <w:t> </w:t>
      </w:r>
      <w:r>
        <w:rPr/>
        <w:t>stage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Project,</w:t>
      </w:r>
      <w:r>
        <w:rPr>
          <w:spacing w:val="-1"/>
        </w:rPr>
        <w:t> </w:t>
      </w:r>
      <w:r>
        <w:rPr/>
        <w:t>it</w:t>
      </w:r>
      <w:r>
        <w:rPr>
          <w:spacing w:val="-1"/>
        </w:rPr>
        <w:t> </w:t>
      </w:r>
      <w:r>
        <w:rPr/>
        <w:t>currently</w:t>
      </w:r>
      <w:r>
        <w:rPr>
          <w:spacing w:val="-3"/>
        </w:rPr>
        <w:t> </w:t>
      </w:r>
      <w:r>
        <w:rPr/>
        <w:t>has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revenue</w:t>
      </w:r>
      <w:r>
        <w:rPr>
          <w:spacing w:val="-3"/>
        </w:rPr>
        <w:t> </w:t>
      </w:r>
      <w:r>
        <w:rPr/>
        <w:t>nor</w:t>
      </w:r>
      <w:r>
        <w:rPr>
          <w:spacing w:val="-3"/>
        </w:rPr>
        <w:t> </w:t>
      </w:r>
      <w:r>
        <w:rPr/>
        <w:t>profits</w:t>
      </w:r>
      <w:r>
        <w:rPr>
          <w:spacing w:val="-5"/>
        </w:rPr>
        <w:t> </w:t>
      </w:r>
      <w:r>
        <w:rPr/>
        <w:t>and so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multiples base</w:t>
      </w:r>
      <w:r>
        <w:rPr>
          <w:spacing w:val="-1"/>
        </w:rPr>
        <w:t> </w:t>
      </w:r>
      <w:r>
        <w:rPr/>
        <w:t>cross</w:t>
      </w:r>
      <w:r>
        <w:rPr>
          <w:spacing w:val="-3"/>
        </w:rPr>
        <w:t> </w:t>
      </w:r>
      <w:r>
        <w:rPr/>
        <w:t>check</w:t>
      </w:r>
      <w:r>
        <w:rPr>
          <w:spacing w:val="-3"/>
        </w:rPr>
        <w:t> </w:t>
      </w:r>
      <w:r>
        <w:rPr/>
        <w:t>is</w:t>
      </w:r>
      <w:r>
        <w:rPr>
          <w:spacing w:val="-1"/>
        </w:rPr>
        <w:t> </w:t>
      </w:r>
      <w:r>
        <w:rPr/>
        <w:t>not appropriate. Furthermore, we cannot use a cost-based valuation approach as the Company has no balance sheet.</w:t>
      </w:r>
    </w:p>
    <w:p>
      <w:pPr>
        <w:pStyle w:val="BodyText"/>
        <w:spacing w:after="0" w:line="249" w:lineRule="auto"/>
        <w:sectPr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tabs>
          <w:tab w:pos="824" w:val="left" w:leader="none"/>
        </w:tabs>
        <w:ind w:left="345" w:firstLine="0"/>
      </w:pPr>
      <w:r>
        <w:rPr>
          <w:spacing w:val="-5"/>
        </w:rPr>
        <w:t>8.</w:t>
      </w:r>
      <w:r>
        <w:rPr/>
        <w:tab/>
      </w:r>
      <w:r>
        <w:rPr>
          <w:spacing w:val="-10"/>
        </w:rPr>
        <w:t>VALUATION</w:t>
      </w:r>
      <w:r>
        <w:rPr>
          <w:spacing w:val="-1"/>
        </w:rPr>
        <w:t> </w:t>
      </w:r>
      <w:r>
        <w:rPr>
          <w:spacing w:val="-10"/>
        </w:rPr>
        <w:t>CALCULATIONS</w:t>
      </w:r>
      <w:r>
        <w:rPr>
          <w:spacing w:val="-1"/>
        </w:rPr>
        <w:t> </w:t>
      </w:r>
      <w:r>
        <w:rPr>
          <w:spacing w:val="-10"/>
        </w:rPr>
        <w:t>–</w:t>
      </w:r>
      <w:r>
        <w:rPr>
          <w:spacing w:val="-3"/>
        </w:rPr>
        <w:t> </w:t>
      </w:r>
      <w:r>
        <w:rPr>
          <w:spacing w:val="-10"/>
        </w:rPr>
        <w:t>PART</w:t>
      </w:r>
      <w:r>
        <w:rPr>
          <w:spacing w:val="-1"/>
        </w:rPr>
        <w:t> </w:t>
      </w:r>
      <w:r>
        <w:rPr>
          <w:spacing w:val="-10"/>
        </w:rPr>
        <w:t>2/3</w:t>
      </w:r>
      <w:r>
        <w:rPr>
          <w:spacing w:val="-1"/>
        </w:rPr>
        <w:t> </w:t>
      </w:r>
      <w:r>
        <w:rPr>
          <w:spacing w:val="-10"/>
        </w:rPr>
        <w:t>–</w:t>
      </w:r>
      <w:r>
        <w:rPr>
          <w:spacing w:val="-1"/>
        </w:rPr>
        <w:t> </w:t>
      </w:r>
      <w:r>
        <w:rPr>
          <w:spacing w:val="-10"/>
        </w:rPr>
        <w:t>VALUATION</w:t>
      </w:r>
      <w:r>
        <w:rPr/>
        <w:t> </w:t>
      </w:r>
      <w:r>
        <w:rPr>
          <w:spacing w:val="-10"/>
        </w:rPr>
        <w:t>OF</w:t>
      </w:r>
      <w:r>
        <w:rPr>
          <w:spacing w:val="2"/>
        </w:rPr>
        <w:t> </w:t>
      </w:r>
      <w:r>
        <w:rPr>
          <w:spacing w:val="-10"/>
        </w:rPr>
        <w:t>GILT</w:t>
      </w:r>
    </w:p>
    <w:p>
      <w:pPr>
        <w:pStyle w:val="Heading2"/>
        <w:spacing w:before="181"/>
      </w:pPr>
      <w:r>
        <w:rPr/>
        <w:t>Valuation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>
          <w:spacing w:val="-4"/>
        </w:rPr>
        <w:t>gilt</w:t>
      </w:r>
    </w:p>
    <w:p>
      <w:pPr>
        <w:pStyle w:val="BodyText"/>
        <w:spacing w:line="249" w:lineRule="auto" w:before="235"/>
        <w:ind w:left="345" w:right="76"/>
      </w:pPr>
      <w:r>
        <w:rPr/>
        <w:t>Management reported</w:t>
      </w:r>
      <w:r>
        <w:rPr>
          <w:spacing w:val="-5"/>
        </w:rPr>
        <w:t> </w:t>
      </w:r>
      <w:r>
        <w:rPr/>
        <w:t>that the</w:t>
      </w:r>
      <w:r>
        <w:rPr>
          <w:spacing w:val="-6"/>
        </w:rPr>
        <w:t> </w:t>
      </w:r>
      <w:r>
        <w:rPr/>
        <w:t>initial</w:t>
      </w:r>
      <w:r>
        <w:rPr>
          <w:spacing w:val="-6"/>
        </w:rPr>
        <w:t> </w:t>
      </w:r>
      <w:r>
        <w:rPr/>
        <w:t>purchase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land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expected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at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discount, priced</w:t>
      </w:r>
      <w:r>
        <w:rPr>
          <w:spacing w:val="-5"/>
        </w:rPr>
        <w:t> </w:t>
      </w:r>
      <w:r>
        <w:rPr/>
        <w:t>at £7m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Y1. In</w:t>
      </w:r>
      <w:r>
        <w:rPr>
          <w:spacing w:val="-3"/>
        </w:rPr>
        <w:t> </w:t>
      </w:r>
      <w:r>
        <w:rPr/>
        <w:t>Y2, Management</w:t>
      </w:r>
      <w:r>
        <w:rPr>
          <w:spacing w:val="-14"/>
        </w:rPr>
        <w:t> </w:t>
      </w:r>
      <w:r>
        <w:rPr/>
        <w:t>reported</w:t>
      </w:r>
      <w:r>
        <w:rPr>
          <w:spacing w:val="-17"/>
        </w:rPr>
        <w:t> </w:t>
      </w:r>
      <w:r>
        <w:rPr/>
        <w:t>that</w:t>
      </w:r>
      <w:r>
        <w:rPr>
          <w:spacing w:val="-13"/>
        </w:rPr>
        <w:t> </w:t>
      </w:r>
      <w:r>
        <w:rPr/>
        <w:t>2/3</w:t>
      </w:r>
      <w:r>
        <w:rPr>
          <w:spacing w:val="-19"/>
        </w:rPr>
        <w:t> </w:t>
      </w:r>
      <w:r>
        <w:rPr/>
        <w:t>of</w:t>
      </w:r>
      <w:r>
        <w:rPr>
          <w:spacing w:val="-19"/>
        </w:rPr>
        <w:t> </w:t>
      </w:r>
      <w:r>
        <w:rPr/>
        <w:t>the</w:t>
      </w:r>
      <w:r>
        <w:rPr>
          <w:spacing w:val="-20"/>
        </w:rPr>
        <w:t> </w:t>
      </w:r>
      <w:r>
        <w:rPr/>
        <w:t>land</w:t>
      </w:r>
      <w:r>
        <w:rPr>
          <w:spacing w:val="-15"/>
        </w:rPr>
        <w:t> </w:t>
      </w:r>
      <w:r>
        <w:rPr/>
        <w:t>or</w:t>
      </w:r>
      <w:r>
        <w:rPr>
          <w:spacing w:val="-18"/>
        </w:rPr>
        <w:t> </w:t>
      </w:r>
      <w:r>
        <w:rPr/>
        <w:t>620Ha</w:t>
      </w:r>
      <w:r>
        <w:rPr>
          <w:spacing w:val="-18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16"/>
        </w:rPr>
        <w:t> </w:t>
      </w:r>
      <w:r>
        <w:rPr/>
        <w:t>land</w:t>
      </w:r>
      <w:r>
        <w:rPr>
          <w:spacing w:val="-15"/>
        </w:rPr>
        <w:t> </w:t>
      </w:r>
      <w:r>
        <w:rPr/>
        <w:t>is</w:t>
      </w:r>
      <w:r>
        <w:rPr>
          <w:spacing w:val="-16"/>
        </w:rPr>
        <w:t> </w:t>
      </w:r>
      <w:r>
        <w:rPr/>
        <w:t>expected</w:t>
      </w:r>
      <w:r>
        <w:rPr>
          <w:spacing w:val="-15"/>
        </w:rPr>
        <w:t> </w:t>
      </w:r>
      <w:r>
        <w:rPr/>
        <w:t>to</w:t>
      </w:r>
      <w:r>
        <w:rPr>
          <w:spacing w:val="-17"/>
        </w:rPr>
        <w:t> </w:t>
      </w:r>
      <w:r>
        <w:rPr/>
        <w:t>be</w:t>
      </w:r>
      <w:r>
        <w:rPr>
          <w:spacing w:val="-16"/>
        </w:rPr>
        <w:t> </w:t>
      </w:r>
      <w:r>
        <w:rPr/>
        <w:t>sold</w:t>
      </w:r>
      <w:r>
        <w:rPr>
          <w:spacing w:val="-16"/>
        </w:rPr>
        <w:t> </w:t>
      </w:r>
      <w:r>
        <w:rPr/>
        <w:t>for</w:t>
      </w:r>
      <w:r>
        <w:rPr>
          <w:spacing w:val="-18"/>
        </w:rPr>
        <w:t> </w:t>
      </w:r>
      <w:r>
        <w:rPr/>
        <w:t>£9.3m.</w:t>
      </w:r>
      <w:r>
        <w:rPr>
          <w:spacing w:val="-13"/>
        </w:rPr>
        <w:t> </w:t>
      </w:r>
      <w:r>
        <w:rPr/>
        <w:t>Of</w:t>
      </w:r>
      <w:r>
        <w:rPr>
          <w:spacing w:val="-16"/>
        </w:rPr>
        <w:t> </w:t>
      </w:r>
      <w:r>
        <w:rPr/>
        <w:t>the</w:t>
      </w:r>
      <w:r>
        <w:rPr>
          <w:spacing w:val="-13"/>
        </w:rPr>
        <w:t> </w:t>
      </w:r>
      <w:r>
        <w:rPr/>
        <w:t>£9.3m,</w:t>
      </w:r>
      <w:r>
        <w:rPr>
          <w:spacing w:val="-15"/>
        </w:rPr>
        <w:t> </w:t>
      </w:r>
      <w:r>
        <w:rPr/>
        <w:t>£9m</w:t>
      </w:r>
      <w:r>
        <w:rPr>
          <w:spacing w:val="-18"/>
        </w:rPr>
        <w:t> </w:t>
      </w:r>
      <w:r>
        <w:rPr/>
        <w:t>would be used to purchase gilts. We have therefore also included a separate valuation of</w:t>
      </w:r>
      <w:r>
        <w:rPr>
          <w:spacing w:val="-1"/>
        </w:rPr>
        <w:t> </w:t>
      </w:r>
      <w:r>
        <w:rPr/>
        <w:t>the gilt below based on the forecasts provided by Management.</w:t>
      </w:r>
    </w:p>
    <w:p>
      <w:pPr>
        <w:pStyle w:val="BodyText"/>
        <w:spacing w:before="5"/>
        <w:rPr>
          <w:sz w:val="17"/>
        </w:rPr>
      </w:pPr>
    </w:p>
    <w:tbl>
      <w:tblPr>
        <w:tblW w:w="0" w:type="auto"/>
        <w:jc w:val="left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6"/>
        <w:gridCol w:w="989"/>
        <w:gridCol w:w="976"/>
        <w:gridCol w:w="1141"/>
        <w:gridCol w:w="1057"/>
        <w:gridCol w:w="1015"/>
        <w:gridCol w:w="1166"/>
        <w:gridCol w:w="990"/>
        <w:gridCol w:w="1055"/>
        <w:gridCol w:w="1056"/>
        <w:gridCol w:w="1059"/>
        <w:gridCol w:w="1026"/>
      </w:tblGrid>
      <w:tr>
        <w:trPr>
          <w:trHeight w:val="568" w:hRule="atLeast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18" w:lineRule="auto"/>
              <w:ind w:left="32" w:right="864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Trees4Good </w:t>
            </w:r>
            <w:r>
              <w:rPr>
                <w:rFonts w:ascii="Tahoma"/>
                <w:b/>
                <w:sz w:val="16"/>
              </w:rPr>
              <w:t>Discount</w:t>
            </w:r>
            <w:r>
              <w:rPr>
                <w:rFonts w:ascii="Tahoma"/>
                <w:b/>
                <w:spacing w:val="-12"/>
                <w:sz w:val="16"/>
              </w:rPr>
              <w:t> </w:t>
            </w:r>
            <w:r>
              <w:rPr>
                <w:rFonts w:ascii="Tahoma"/>
                <w:b/>
                <w:sz w:val="16"/>
              </w:rPr>
              <w:t>Rate</w:t>
            </w:r>
          </w:p>
        </w:tc>
        <w:tc>
          <w:tcPr>
            <w:tcW w:w="98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51"/>
              <w:ind w:left="437"/>
              <w:rPr>
                <w:sz w:val="16"/>
              </w:rPr>
            </w:pPr>
            <w:r>
              <w:rPr>
                <w:spacing w:val="-4"/>
                <w:w w:val="95"/>
                <w:sz w:val="16"/>
              </w:rPr>
              <w:t>4.68%</w:t>
            </w:r>
          </w:p>
        </w:tc>
        <w:tc>
          <w:tcPr>
            <w:tcW w:w="9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1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9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05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9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5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6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15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9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0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9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056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8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05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8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026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4"/>
              <w:rPr>
                <w:sz w:val="16"/>
              </w:rPr>
            </w:pPr>
          </w:p>
          <w:p>
            <w:pPr>
              <w:pStyle w:val="TableParagraph"/>
              <w:spacing w:line="170" w:lineRule="exact"/>
              <w:ind w:right="3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>
        <w:trPr>
          <w:trHeight w:val="587" w:hRule="atLeast"/>
        </w:trPr>
        <w:tc>
          <w:tcPr>
            <w:tcW w:w="2036" w:type="dxa"/>
            <w:tcBorders>
              <w:left w:val="single" w:sz="4" w:space="0" w:color="000000"/>
            </w:tcBorders>
            <w:shd w:val="clear" w:color="auto" w:fill="0F059E"/>
          </w:tcPr>
          <w:p>
            <w:pPr>
              <w:pStyle w:val="TableParagraph"/>
              <w:spacing w:line="179" w:lineRule="exact"/>
              <w:ind w:left="32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pacing w:val="-2"/>
                <w:sz w:val="16"/>
              </w:rPr>
              <w:t>Trees4Good</w:t>
            </w:r>
          </w:p>
          <w:p>
            <w:pPr>
              <w:pStyle w:val="TableParagraph"/>
              <w:spacing w:before="35"/>
              <w:ind w:left="32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Year</w:t>
            </w:r>
            <w:r>
              <w:rPr>
                <w:rFonts w:ascii="Tahoma"/>
                <w:b/>
                <w:color w:val="FFFFFF"/>
                <w:spacing w:val="2"/>
                <w:sz w:val="16"/>
              </w:rPr>
              <w:t> 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end</w:t>
            </w:r>
          </w:p>
        </w:tc>
        <w:tc>
          <w:tcPr>
            <w:tcW w:w="1965" w:type="dxa"/>
            <w:gridSpan w:val="2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14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25</w:t>
            </w:r>
          </w:p>
          <w:p>
            <w:pPr>
              <w:pStyle w:val="TableParagraph"/>
              <w:spacing w:line="178" w:lineRule="exact"/>
              <w:ind w:right="13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141" w:type="dxa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95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26</w:t>
            </w:r>
          </w:p>
          <w:p>
            <w:pPr>
              <w:pStyle w:val="TableParagraph"/>
              <w:spacing w:line="178" w:lineRule="exact"/>
              <w:ind w:right="95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057" w:type="dxa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94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27</w:t>
            </w:r>
          </w:p>
          <w:p>
            <w:pPr>
              <w:pStyle w:val="TableParagraph"/>
              <w:spacing w:line="178" w:lineRule="exact"/>
              <w:ind w:right="94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015" w:type="dxa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50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28</w:t>
            </w:r>
          </w:p>
          <w:p>
            <w:pPr>
              <w:pStyle w:val="TableParagraph"/>
              <w:spacing w:line="178" w:lineRule="exact"/>
              <w:ind w:right="51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2156" w:type="dxa"/>
            <w:gridSpan w:val="2"/>
            <w:shd w:val="clear" w:color="auto" w:fill="0F059E"/>
          </w:tcPr>
          <w:p>
            <w:pPr>
              <w:pStyle w:val="TableParagraph"/>
              <w:spacing w:line="179" w:lineRule="exact"/>
              <w:ind w:right="100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Management</w:t>
            </w:r>
            <w:r>
              <w:rPr>
                <w:rFonts w:ascii="Tahoma"/>
                <w:b/>
                <w:color w:val="FFFFFF"/>
                <w:spacing w:val="50"/>
                <w:sz w:val="16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sz w:val="16"/>
              </w:rPr>
              <w:t>Projection</w:t>
            </w:r>
          </w:p>
          <w:p>
            <w:pPr>
              <w:pStyle w:val="TableParagraph"/>
              <w:tabs>
                <w:tab w:pos="1058" w:val="left" w:leader="none"/>
              </w:tabs>
              <w:spacing w:line="193" w:lineRule="exact" w:before="18"/>
              <w:ind w:right="90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29</w:t>
            </w:r>
            <w:r>
              <w:rPr>
                <w:rFonts w:ascii="Tahoma"/>
                <w:b/>
                <w:color w:val="FFFFFF"/>
                <w:sz w:val="16"/>
              </w:rPr>
              <w:tab/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30</w:t>
            </w:r>
          </w:p>
          <w:p>
            <w:pPr>
              <w:pStyle w:val="TableParagraph"/>
              <w:tabs>
                <w:tab w:pos="1058" w:val="left" w:leader="none"/>
              </w:tabs>
              <w:spacing w:line="178" w:lineRule="exact"/>
              <w:ind w:right="90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  <w:r>
              <w:rPr>
                <w:rFonts w:ascii="Tahoma" w:hAnsi="Tahoma"/>
                <w:b/>
                <w:color w:val="FFFFFF"/>
                <w:sz w:val="16"/>
              </w:rPr>
              <w:tab/>
            </w: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055" w:type="dxa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89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31</w:t>
            </w:r>
          </w:p>
          <w:p>
            <w:pPr>
              <w:pStyle w:val="TableParagraph"/>
              <w:spacing w:line="178" w:lineRule="exact"/>
              <w:ind w:right="89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056" w:type="dxa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87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32</w:t>
            </w:r>
          </w:p>
          <w:p>
            <w:pPr>
              <w:pStyle w:val="TableParagraph"/>
              <w:spacing w:line="178" w:lineRule="exact"/>
              <w:ind w:right="86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059" w:type="dxa"/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87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33</w:t>
            </w:r>
          </w:p>
          <w:p>
            <w:pPr>
              <w:pStyle w:val="TableParagraph"/>
              <w:spacing w:line="178" w:lineRule="exact"/>
              <w:ind w:right="87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  <w:tc>
          <w:tcPr>
            <w:tcW w:w="1026" w:type="dxa"/>
            <w:tcBorders>
              <w:right w:val="single" w:sz="8" w:space="0" w:color="000000"/>
            </w:tcBorders>
            <w:shd w:val="clear" w:color="auto" w:fill="0F059E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93" w:lineRule="exact"/>
              <w:ind w:right="35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color w:val="FFFFFF"/>
                <w:sz w:val="16"/>
              </w:rPr>
              <w:t>31-Dec-</w:t>
            </w:r>
            <w:r>
              <w:rPr>
                <w:rFonts w:ascii="Tahoma"/>
                <w:b/>
                <w:color w:val="FFFFFF"/>
                <w:spacing w:val="-5"/>
                <w:sz w:val="16"/>
              </w:rPr>
              <w:t>34</w:t>
            </w:r>
          </w:p>
          <w:p>
            <w:pPr>
              <w:pStyle w:val="TableParagraph"/>
              <w:spacing w:line="178" w:lineRule="exact"/>
              <w:ind w:right="35"/>
              <w:jc w:val="right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color w:val="FFFFFF"/>
                <w:spacing w:val="-10"/>
                <w:sz w:val="16"/>
              </w:rPr>
              <w:t>£</w:t>
            </w:r>
          </w:p>
        </w:tc>
      </w:tr>
      <w:tr>
        <w:trPr>
          <w:trHeight w:val="226" w:hRule="atLeast"/>
        </w:trPr>
        <w:tc>
          <w:tcPr>
            <w:tcW w:w="203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1" w:lineRule="exact" w:before="26"/>
              <w:ind w:left="32"/>
              <w:rPr>
                <w:sz w:val="16"/>
              </w:rPr>
            </w:pPr>
            <w:r>
              <w:rPr>
                <w:sz w:val="16"/>
              </w:rPr>
              <w:t>Principal</w:t>
            </w:r>
            <w:r>
              <w:rPr>
                <w:spacing w:val="7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gilt</w:t>
            </w:r>
          </w:p>
        </w:tc>
        <w:tc>
          <w:tcPr>
            <w:tcW w:w="1965" w:type="dxa"/>
            <w:gridSpan w:val="2"/>
          </w:tcPr>
          <w:p>
            <w:pPr>
              <w:pStyle w:val="TableParagraph"/>
              <w:spacing w:line="181" w:lineRule="exact" w:before="26"/>
              <w:ind w:right="118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141" w:type="dxa"/>
          </w:tcPr>
          <w:p>
            <w:pPr>
              <w:pStyle w:val="TableParagraph"/>
              <w:spacing w:line="181" w:lineRule="exact" w:before="26"/>
              <w:ind w:right="201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057" w:type="dxa"/>
          </w:tcPr>
          <w:p>
            <w:pPr>
              <w:pStyle w:val="TableParagraph"/>
              <w:spacing w:line="181" w:lineRule="exact" w:before="26"/>
              <w:ind w:right="200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015" w:type="dxa"/>
          </w:tcPr>
          <w:p>
            <w:pPr>
              <w:pStyle w:val="TableParagraph"/>
              <w:spacing w:line="181" w:lineRule="exact" w:before="26"/>
              <w:ind w:right="156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166" w:type="dxa"/>
          </w:tcPr>
          <w:p>
            <w:pPr>
              <w:pStyle w:val="TableParagraph"/>
              <w:spacing w:line="181" w:lineRule="exact" w:before="26"/>
              <w:ind w:right="264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990" w:type="dxa"/>
          </w:tcPr>
          <w:p>
            <w:pPr>
              <w:pStyle w:val="TableParagraph"/>
              <w:spacing w:line="181" w:lineRule="exact" w:before="26"/>
              <w:ind w:right="195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055" w:type="dxa"/>
          </w:tcPr>
          <w:p>
            <w:pPr>
              <w:pStyle w:val="TableParagraph"/>
              <w:spacing w:line="181" w:lineRule="exact" w:before="26"/>
              <w:ind w:right="194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056" w:type="dxa"/>
          </w:tcPr>
          <w:p>
            <w:pPr>
              <w:pStyle w:val="TableParagraph"/>
              <w:spacing w:line="181" w:lineRule="exact" w:before="26"/>
              <w:ind w:right="192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059" w:type="dxa"/>
          </w:tcPr>
          <w:p>
            <w:pPr>
              <w:pStyle w:val="TableParagraph"/>
              <w:spacing w:line="181" w:lineRule="exact" w:before="26"/>
              <w:ind w:right="192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02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81" w:lineRule="exact" w:before="26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9,000,000</w:t>
            </w:r>
          </w:p>
        </w:tc>
      </w:tr>
      <w:tr>
        <w:trPr>
          <w:trHeight w:val="209" w:hRule="atLeast"/>
        </w:trPr>
        <w:tc>
          <w:tcPr>
            <w:tcW w:w="203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79" w:lineRule="exact" w:before="10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Coupon</w:t>
            </w:r>
            <w:r>
              <w:rPr>
                <w:spacing w:val="-15"/>
                <w:w w:val="110"/>
                <w:sz w:val="16"/>
              </w:rPr>
              <w:t> </w:t>
            </w:r>
            <w:r>
              <w:rPr>
                <w:spacing w:val="-2"/>
                <w:w w:val="110"/>
                <w:sz w:val="16"/>
              </w:rPr>
              <w:t>payment</w:t>
            </w:r>
          </w:p>
        </w:tc>
        <w:tc>
          <w:tcPr>
            <w:tcW w:w="1965" w:type="dxa"/>
            <w:gridSpan w:val="2"/>
          </w:tcPr>
          <w:p>
            <w:pPr>
              <w:pStyle w:val="TableParagraph"/>
              <w:spacing w:line="179" w:lineRule="exact" w:before="10"/>
              <w:ind w:right="118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141" w:type="dxa"/>
          </w:tcPr>
          <w:p>
            <w:pPr>
              <w:pStyle w:val="TableParagraph"/>
              <w:spacing w:line="179" w:lineRule="exact" w:before="10"/>
              <w:ind w:right="1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300,000</w:t>
            </w:r>
          </w:p>
        </w:tc>
        <w:tc>
          <w:tcPr>
            <w:tcW w:w="1057" w:type="dxa"/>
          </w:tcPr>
          <w:p>
            <w:pPr>
              <w:pStyle w:val="TableParagraph"/>
              <w:spacing w:line="179" w:lineRule="exact" w:before="10"/>
              <w:ind w:left="311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1015" w:type="dxa"/>
          </w:tcPr>
          <w:p>
            <w:pPr>
              <w:pStyle w:val="TableParagraph"/>
              <w:spacing w:line="179" w:lineRule="exact" w:before="10"/>
              <w:ind w:right="10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1166" w:type="dxa"/>
          </w:tcPr>
          <w:p>
            <w:pPr>
              <w:pStyle w:val="TableParagraph"/>
              <w:spacing w:line="179" w:lineRule="exact" w:before="10"/>
              <w:ind w:left="356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990" w:type="dxa"/>
          </w:tcPr>
          <w:p>
            <w:pPr>
              <w:pStyle w:val="TableParagraph"/>
              <w:spacing w:line="179" w:lineRule="exact" w:before="10"/>
              <w:ind w:right="1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1055" w:type="dxa"/>
          </w:tcPr>
          <w:p>
            <w:pPr>
              <w:pStyle w:val="TableParagraph"/>
              <w:spacing w:line="179" w:lineRule="exact" w:before="10"/>
              <w:ind w:right="1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1056" w:type="dxa"/>
          </w:tcPr>
          <w:p>
            <w:pPr>
              <w:pStyle w:val="TableParagraph"/>
              <w:spacing w:line="179" w:lineRule="exact" w:before="10"/>
              <w:ind w:right="13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1059" w:type="dxa"/>
          </w:tcPr>
          <w:p>
            <w:pPr>
              <w:pStyle w:val="TableParagraph"/>
              <w:spacing w:line="179" w:lineRule="exact" w:before="10"/>
              <w:ind w:right="1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  <w:tc>
          <w:tcPr>
            <w:tcW w:w="102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79" w:lineRule="exact"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450,000</w:t>
            </w:r>
          </w:p>
        </w:tc>
      </w:tr>
      <w:tr>
        <w:trPr>
          <w:trHeight w:val="245" w:hRule="atLeast"/>
        </w:trPr>
        <w:tc>
          <w:tcPr>
            <w:tcW w:w="2036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ind w:left="32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Free </w:t>
            </w:r>
            <w:r>
              <w:rPr>
                <w:rFonts w:ascii="Tahoma"/>
                <w:b/>
                <w:spacing w:val="-2"/>
                <w:sz w:val="16"/>
              </w:rPr>
              <w:t>Cashflows</w:t>
            </w:r>
          </w:p>
        </w:tc>
        <w:tc>
          <w:tcPr>
            <w:tcW w:w="1965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10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10"/>
                <w:sz w:val="16"/>
              </w:rPr>
              <w:t>-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46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300,000</w:t>
            </w:r>
          </w:p>
        </w:tc>
        <w:tc>
          <w:tcPr>
            <w:tcW w:w="10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left="301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10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02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1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left="347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99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40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105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40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36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105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0"/>
              <w:ind w:right="137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450,000</w:t>
            </w:r>
          </w:p>
        </w:tc>
        <w:tc>
          <w:tcPr>
            <w:tcW w:w="1026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10"/>
              <w:ind w:right="85"/>
              <w:jc w:val="right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9,450,000</w:t>
            </w:r>
          </w:p>
        </w:tc>
      </w:tr>
      <w:tr>
        <w:trPr>
          <w:trHeight w:val="208" w:hRule="atLeast"/>
        </w:trPr>
        <w:tc>
          <w:tcPr>
            <w:tcW w:w="2036" w:type="dxa"/>
            <w:tcBorders>
              <w:top w:val="single" w:sz="6" w:space="0" w:color="000000"/>
              <w:left w:val="single" w:sz="4" w:space="0" w:color="000000"/>
            </w:tcBorders>
          </w:tcPr>
          <w:p>
            <w:pPr>
              <w:pStyle w:val="TableParagraph"/>
              <w:spacing w:line="164" w:lineRule="exact" w:before="25"/>
              <w:ind w:left="32"/>
              <w:rPr>
                <w:sz w:val="16"/>
              </w:rPr>
            </w:pPr>
            <w:r>
              <w:rPr>
                <w:sz w:val="16"/>
              </w:rPr>
              <w:t>Part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Year</w:t>
            </w:r>
          </w:p>
        </w:tc>
        <w:tc>
          <w:tcPr>
            <w:tcW w:w="1965" w:type="dxa"/>
            <w:gridSpan w:val="2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64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0.8</w:t>
            </w:r>
          </w:p>
        </w:tc>
        <w:tc>
          <w:tcPr>
            <w:tcW w:w="1141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47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7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45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1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02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6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21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41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5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40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3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59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164" w:lineRule="exact" w:before="25"/>
              <w:ind w:right="138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026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164" w:lineRule="exact" w:before="25"/>
              <w:ind w:right="86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</w:tr>
      <w:tr>
        <w:trPr>
          <w:trHeight w:val="176" w:hRule="atLeast"/>
        </w:trPr>
        <w:tc>
          <w:tcPr>
            <w:tcW w:w="203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56" w:lineRule="exact"/>
              <w:ind w:left="32"/>
              <w:rPr>
                <w:sz w:val="16"/>
              </w:rPr>
            </w:pPr>
            <w:r>
              <w:rPr>
                <w:sz w:val="16"/>
              </w:rPr>
              <w:t>PV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1965" w:type="dxa"/>
            <w:gridSpan w:val="2"/>
          </w:tcPr>
          <w:p>
            <w:pPr>
              <w:pStyle w:val="TableParagraph"/>
              <w:spacing w:line="156" w:lineRule="exact"/>
              <w:ind w:right="64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141" w:type="dxa"/>
          </w:tcPr>
          <w:p>
            <w:pPr>
              <w:pStyle w:val="TableParagraph"/>
              <w:spacing w:line="156" w:lineRule="exact"/>
              <w:ind w:right="147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057" w:type="dxa"/>
          </w:tcPr>
          <w:p>
            <w:pPr>
              <w:pStyle w:val="TableParagraph"/>
              <w:spacing w:line="156" w:lineRule="exact"/>
              <w:ind w:right="145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015" w:type="dxa"/>
          </w:tcPr>
          <w:p>
            <w:pPr>
              <w:pStyle w:val="TableParagraph"/>
              <w:spacing w:line="156" w:lineRule="exact"/>
              <w:ind w:right="102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1166" w:type="dxa"/>
          </w:tcPr>
          <w:p>
            <w:pPr>
              <w:pStyle w:val="TableParagraph"/>
              <w:spacing w:line="156" w:lineRule="exact"/>
              <w:ind w:right="20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990" w:type="dxa"/>
          </w:tcPr>
          <w:p>
            <w:pPr>
              <w:pStyle w:val="TableParagraph"/>
              <w:spacing w:line="156" w:lineRule="exact"/>
              <w:ind w:right="14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72</w:t>
            </w:r>
          </w:p>
        </w:tc>
        <w:tc>
          <w:tcPr>
            <w:tcW w:w="1055" w:type="dxa"/>
          </w:tcPr>
          <w:p>
            <w:pPr>
              <w:pStyle w:val="TableParagraph"/>
              <w:spacing w:line="156" w:lineRule="exact"/>
              <w:ind w:right="141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84</w:t>
            </w:r>
          </w:p>
        </w:tc>
        <w:tc>
          <w:tcPr>
            <w:tcW w:w="1056" w:type="dxa"/>
          </w:tcPr>
          <w:p>
            <w:pPr>
              <w:pStyle w:val="TableParagraph"/>
              <w:spacing w:line="156" w:lineRule="exact"/>
              <w:ind w:right="13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96</w:t>
            </w:r>
          </w:p>
        </w:tc>
        <w:tc>
          <w:tcPr>
            <w:tcW w:w="1059" w:type="dxa"/>
          </w:tcPr>
          <w:p>
            <w:pPr>
              <w:pStyle w:val="TableParagraph"/>
              <w:spacing w:line="156" w:lineRule="exact"/>
              <w:ind w:right="138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108</w:t>
            </w:r>
          </w:p>
        </w:tc>
        <w:tc>
          <w:tcPr>
            <w:tcW w:w="102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56" w:lineRule="exact"/>
              <w:ind w:right="86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120</w:t>
            </w:r>
          </w:p>
        </w:tc>
      </w:tr>
      <w:tr>
        <w:trPr>
          <w:trHeight w:val="176" w:hRule="atLeast"/>
        </w:trPr>
        <w:tc>
          <w:tcPr>
            <w:tcW w:w="203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56" w:lineRule="exact"/>
              <w:ind w:left="32"/>
              <w:rPr>
                <w:sz w:val="16"/>
              </w:rPr>
            </w:pPr>
            <w:r>
              <w:rPr>
                <w:sz w:val="16"/>
              </w:rPr>
              <w:t>PV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2"/>
                <w:sz w:val="16"/>
              </w:rPr>
              <w:t>Years</w:t>
            </w:r>
          </w:p>
        </w:tc>
        <w:tc>
          <w:tcPr>
            <w:tcW w:w="1965" w:type="dxa"/>
            <w:gridSpan w:val="2"/>
          </w:tcPr>
          <w:p>
            <w:pPr>
              <w:pStyle w:val="TableParagraph"/>
              <w:spacing w:line="156" w:lineRule="exact"/>
              <w:ind w:right="64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0.8</w:t>
            </w:r>
          </w:p>
        </w:tc>
        <w:tc>
          <w:tcPr>
            <w:tcW w:w="1141" w:type="dxa"/>
          </w:tcPr>
          <w:p>
            <w:pPr>
              <w:pStyle w:val="TableParagraph"/>
              <w:spacing w:line="156" w:lineRule="exact"/>
              <w:ind w:right="147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2.0</w:t>
            </w:r>
          </w:p>
        </w:tc>
        <w:tc>
          <w:tcPr>
            <w:tcW w:w="1057" w:type="dxa"/>
          </w:tcPr>
          <w:p>
            <w:pPr>
              <w:pStyle w:val="TableParagraph"/>
              <w:spacing w:line="156" w:lineRule="exact"/>
              <w:ind w:left="681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3.0</w:t>
            </w:r>
          </w:p>
        </w:tc>
        <w:tc>
          <w:tcPr>
            <w:tcW w:w="1015" w:type="dxa"/>
          </w:tcPr>
          <w:p>
            <w:pPr>
              <w:pStyle w:val="TableParagraph"/>
              <w:spacing w:line="156" w:lineRule="exact"/>
              <w:ind w:right="102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4.0</w:t>
            </w:r>
          </w:p>
        </w:tc>
        <w:tc>
          <w:tcPr>
            <w:tcW w:w="1166" w:type="dxa"/>
          </w:tcPr>
          <w:p>
            <w:pPr>
              <w:pStyle w:val="TableParagraph"/>
              <w:spacing w:line="156" w:lineRule="exact"/>
              <w:ind w:right="210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5.0</w:t>
            </w:r>
          </w:p>
        </w:tc>
        <w:tc>
          <w:tcPr>
            <w:tcW w:w="990" w:type="dxa"/>
          </w:tcPr>
          <w:p>
            <w:pPr>
              <w:pStyle w:val="TableParagraph"/>
              <w:spacing w:line="156" w:lineRule="exact"/>
              <w:ind w:right="141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6.0</w:t>
            </w:r>
          </w:p>
        </w:tc>
        <w:tc>
          <w:tcPr>
            <w:tcW w:w="1055" w:type="dxa"/>
          </w:tcPr>
          <w:p>
            <w:pPr>
              <w:pStyle w:val="TableParagraph"/>
              <w:spacing w:line="156" w:lineRule="exact"/>
              <w:ind w:right="140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7.0</w:t>
            </w:r>
          </w:p>
        </w:tc>
        <w:tc>
          <w:tcPr>
            <w:tcW w:w="1056" w:type="dxa"/>
          </w:tcPr>
          <w:p>
            <w:pPr>
              <w:pStyle w:val="TableParagraph"/>
              <w:spacing w:line="156" w:lineRule="exact"/>
              <w:ind w:right="138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8.0</w:t>
            </w:r>
          </w:p>
        </w:tc>
        <w:tc>
          <w:tcPr>
            <w:tcW w:w="1059" w:type="dxa"/>
          </w:tcPr>
          <w:p>
            <w:pPr>
              <w:pStyle w:val="TableParagraph"/>
              <w:spacing w:line="156" w:lineRule="exact"/>
              <w:ind w:right="138"/>
              <w:jc w:val="right"/>
              <w:rPr>
                <w:sz w:val="16"/>
              </w:rPr>
            </w:pPr>
            <w:r>
              <w:rPr>
                <w:spacing w:val="-5"/>
                <w:w w:val="95"/>
                <w:sz w:val="16"/>
              </w:rPr>
              <w:t>9.0</w:t>
            </w:r>
          </w:p>
        </w:tc>
        <w:tc>
          <w:tcPr>
            <w:tcW w:w="102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56" w:lineRule="exact"/>
              <w:ind w:right="8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10.0</w:t>
            </w:r>
          </w:p>
        </w:tc>
      </w:tr>
      <w:tr>
        <w:trPr>
          <w:trHeight w:val="201" w:hRule="atLeast"/>
        </w:trPr>
        <w:tc>
          <w:tcPr>
            <w:tcW w:w="203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182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PV</w:t>
            </w:r>
            <w:r>
              <w:rPr>
                <w:spacing w:val="1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Factor</w:t>
            </w:r>
          </w:p>
        </w:tc>
        <w:tc>
          <w:tcPr>
            <w:tcW w:w="1965" w:type="dxa"/>
            <w:gridSpan w:val="2"/>
          </w:tcPr>
          <w:p>
            <w:pPr>
              <w:pStyle w:val="TableParagraph"/>
              <w:spacing w:line="182" w:lineRule="exact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0.966</w:t>
            </w:r>
          </w:p>
        </w:tc>
        <w:tc>
          <w:tcPr>
            <w:tcW w:w="1141" w:type="dxa"/>
          </w:tcPr>
          <w:p>
            <w:pPr>
              <w:pStyle w:val="TableParagraph"/>
              <w:spacing w:line="182" w:lineRule="exact"/>
              <w:ind w:right="1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0.913</w:t>
            </w:r>
          </w:p>
        </w:tc>
        <w:tc>
          <w:tcPr>
            <w:tcW w:w="1057" w:type="dxa"/>
          </w:tcPr>
          <w:p>
            <w:pPr>
              <w:pStyle w:val="TableParagraph"/>
              <w:spacing w:line="182" w:lineRule="exact"/>
              <w:ind w:left="496"/>
              <w:rPr>
                <w:sz w:val="16"/>
              </w:rPr>
            </w:pPr>
            <w:r>
              <w:rPr>
                <w:spacing w:val="-2"/>
                <w:sz w:val="16"/>
              </w:rPr>
              <w:t>0.872</w:t>
            </w:r>
          </w:p>
        </w:tc>
        <w:tc>
          <w:tcPr>
            <w:tcW w:w="1015" w:type="dxa"/>
          </w:tcPr>
          <w:p>
            <w:pPr>
              <w:pStyle w:val="TableParagraph"/>
              <w:spacing w:line="182" w:lineRule="exact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0.833</w:t>
            </w:r>
          </w:p>
        </w:tc>
        <w:tc>
          <w:tcPr>
            <w:tcW w:w="1166" w:type="dxa"/>
          </w:tcPr>
          <w:p>
            <w:pPr>
              <w:pStyle w:val="TableParagraph"/>
              <w:spacing w:line="182" w:lineRule="exact"/>
              <w:ind w:left="541"/>
              <w:rPr>
                <w:sz w:val="16"/>
              </w:rPr>
            </w:pPr>
            <w:r>
              <w:rPr>
                <w:spacing w:val="-2"/>
                <w:sz w:val="16"/>
              </w:rPr>
              <w:t>0.796</w:t>
            </w:r>
          </w:p>
        </w:tc>
        <w:tc>
          <w:tcPr>
            <w:tcW w:w="990" w:type="dxa"/>
          </w:tcPr>
          <w:p>
            <w:pPr>
              <w:pStyle w:val="TableParagraph"/>
              <w:spacing w:line="182" w:lineRule="exact"/>
              <w:ind w:right="1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0.760</w:t>
            </w:r>
          </w:p>
        </w:tc>
        <w:tc>
          <w:tcPr>
            <w:tcW w:w="1055" w:type="dxa"/>
          </w:tcPr>
          <w:p>
            <w:pPr>
              <w:pStyle w:val="TableParagraph"/>
              <w:spacing w:line="182" w:lineRule="exact"/>
              <w:ind w:right="1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0.726</w:t>
            </w:r>
          </w:p>
        </w:tc>
        <w:tc>
          <w:tcPr>
            <w:tcW w:w="1056" w:type="dxa"/>
          </w:tcPr>
          <w:p>
            <w:pPr>
              <w:pStyle w:val="TableParagraph"/>
              <w:spacing w:line="182" w:lineRule="exact"/>
              <w:ind w:right="1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0.694</w:t>
            </w:r>
          </w:p>
        </w:tc>
        <w:tc>
          <w:tcPr>
            <w:tcW w:w="1059" w:type="dxa"/>
          </w:tcPr>
          <w:p>
            <w:pPr>
              <w:pStyle w:val="TableParagraph"/>
              <w:spacing w:line="182" w:lineRule="exact"/>
              <w:ind w:right="1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0.663</w:t>
            </w:r>
          </w:p>
        </w:tc>
        <w:tc>
          <w:tcPr>
            <w:tcW w:w="102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182" w:lineRule="exact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0.633</w:t>
            </w:r>
          </w:p>
        </w:tc>
      </w:tr>
      <w:tr>
        <w:trPr>
          <w:trHeight w:val="253" w:hRule="atLeast"/>
        </w:trPr>
        <w:tc>
          <w:tcPr>
            <w:tcW w:w="2036" w:type="dxa"/>
            <w:tcBorders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left="32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PV </w:t>
            </w:r>
            <w:r>
              <w:rPr>
                <w:rFonts w:ascii="Tahoma"/>
                <w:b/>
                <w:spacing w:val="-2"/>
                <w:sz w:val="16"/>
              </w:rPr>
              <w:t>Cashflows</w:t>
            </w:r>
          </w:p>
        </w:tc>
        <w:tc>
          <w:tcPr>
            <w:tcW w:w="1965" w:type="dxa"/>
            <w:gridSpan w:val="2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18"/>
              <w:jc w:val="right"/>
              <w:rPr>
                <w:sz w:val="16"/>
              </w:rPr>
            </w:pPr>
            <w:r>
              <w:rPr>
                <w:spacing w:val="-10"/>
                <w:w w:val="85"/>
                <w:sz w:val="16"/>
              </w:rPr>
              <w:t>-</w:t>
            </w:r>
          </w:p>
        </w:tc>
        <w:tc>
          <w:tcPr>
            <w:tcW w:w="1141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273,775</w:t>
            </w:r>
          </w:p>
        </w:tc>
        <w:tc>
          <w:tcPr>
            <w:tcW w:w="1057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left="312"/>
              <w:rPr>
                <w:sz w:val="16"/>
              </w:rPr>
            </w:pPr>
            <w:r>
              <w:rPr>
                <w:spacing w:val="-2"/>
                <w:sz w:val="16"/>
              </w:rPr>
              <w:t>392,303</w:t>
            </w:r>
          </w:p>
        </w:tc>
        <w:tc>
          <w:tcPr>
            <w:tcW w:w="10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0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374,764</w:t>
            </w:r>
          </w:p>
        </w:tc>
        <w:tc>
          <w:tcPr>
            <w:tcW w:w="116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left="356"/>
              <w:rPr>
                <w:sz w:val="16"/>
              </w:rPr>
            </w:pPr>
            <w:r>
              <w:rPr>
                <w:spacing w:val="-2"/>
                <w:sz w:val="16"/>
              </w:rPr>
              <w:t>358,009</w:t>
            </w:r>
          </w:p>
        </w:tc>
        <w:tc>
          <w:tcPr>
            <w:tcW w:w="99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342,003</w:t>
            </w:r>
          </w:p>
        </w:tc>
        <w:tc>
          <w:tcPr>
            <w:tcW w:w="105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4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326,713</w:t>
            </w:r>
          </w:p>
        </w:tc>
        <w:tc>
          <w:tcPr>
            <w:tcW w:w="1056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312,106</w:t>
            </w:r>
          </w:p>
        </w:tc>
        <w:tc>
          <w:tcPr>
            <w:tcW w:w="1059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8"/>
              <w:ind w:right="13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298,153</w:t>
            </w:r>
          </w:p>
        </w:tc>
        <w:tc>
          <w:tcPr>
            <w:tcW w:w="1026" w:type="dxa"/>
            <w:tcBorders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18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5,981,287</w:t>
            </w:r>
          </w:p>
        </w:tc>
      </w:tr>
      <w:tr>
        <w:trPr>
          <w:trHeight w:val="155" w:hRule="atLeast"/>
        </w:trPr>
        <w:tc>
          <w:tcPr>
            <w:tcW w:w="2036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136" w:lineRule="exact"/>
              <w:ind w:left="32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Sum</w:t>
            </w:r>
            <w:r>
              <w:rPr>
                <w:rFonts w:ascii="Tahoma"/>
                <w:b/>
                <w:spacing w:val="-7"/>
                <w:sz w:val="16"/>
              </w:rPr>
              <w:t> </w:t>
            </w:r>
            <w:r>
              <w:rPr>
                <w:rFonts w:ascii="Tahoma"/>
                <w:b/>
                <w:sz w:val="16"/>
              </w:rPr>
              <w:t>of</w:t>
            </w:r>
            <w:r>
              <w:rPr>
                <w:rFonts w:ascii="Tahoma"/>
                <w:b/>
                <w:spacing w:val="-5"/>
                <w:sz w:val="16"/>
              </w:rPr>
              <w:t> </w:t>
            </w:r>
            <w:r>
              <w:rPr>
                <w:rFonts w:ascii="Tahoma"/>
                <w:b/>
                <w:spacing w:val="-2"/>
                <w:sz w:val="16"/>
              </w:rPr>
              <w:t>Cashflows</w:t>
            </w:r>
          </w:p>
        </w:tc>
        <w:tc>
          <w:tcPr>
            <w:tcW w:w="1965" w:type="dxa"/>
            <w:gridSpan w:val="2"/>
            <w:tcBorders>
              <w:top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line="136" w:lineRule="exact"/>
              <w:ind w:left="115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2"/>
                <w:sz w:val="16"/>
              </w:rPr>
              <w:t>8,659,114</w:t>
            </w:r>
          </w:p>
        </w:tc>
        <w:tc>
          <w:tcPr>
            <w:tcW w:w="114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57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1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6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5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56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5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6" w:type="dxa"/>
            <w:tcBorders>
              <w:top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98" w:hRule="atLeast"/>
        </w:trPr>
        <w:tc>
          <w:tcPr>
            <w:tcW w:w="20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32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Total</w:t>
            </w:r>
            <w:r>
              <w:rPr>
                <w:rFonts w:ascii="Tahoma"/>
                <w:b/>
                <w:spacing w:val="-12"/>
                <w:sz w:val="16"/>
              </w:rPr>
              <w:t> </w:t>
            </w:r>
            <w:r>
              <w:rPr>
                <w:rFonts w:ascii="Tahoma"/>
                <w:b/>
                <w:sz w:val="16"/>
              </w:rPr>
              <w:t>NPV</w:t>
            </w:r>
            <w:r>
              <w:rPr>
                <w:rFonts w:ascii="Tahoma"/>
                <w:b/>
                <w:spacing w:val="-10"/>
                <w:sz w:val="16"/>
              </w:rPr>
              <w:t> </w:t>
            </w:r>
            <w:r>
              <w:rPr>
                <w:rFonts w:ascii="Tahoma"/>
                <w:b/>
                <w:sz w:val="16"/>
              </w:rPr>
              <w:t>of</w:t>
            </w:r>
            <w:r>
              <w:rPr>
                <w:rFonts w:ascii="Tahoma"/>
                <w:b/>
                <w:spacing w:val="-7"/>
                <w:sz w:val="16"/>
              </w:rPr>
              <w:t> </w:t>
            </w:r>
            <w:r>
              <w:rPr>
                <w:rFonts w:ascii="Tahoma"/>
                <w:b/>
                <w:sz w:val="16"/>
              </w:rPr>
              <w:t>the</w:t>
            </w:r>
            <w:r>
              <w:rPr>
                <w:rFonts w:ascii="Tahoma"/>
                <w:b/>
                <w:spacing w:val="-9"/>
                <w:sz w:val="16"/>
              </w:rPr>
              <w:t> </w:t>
            </w:r>
            <w:r>
              <w:rPr>
                <w:rFonts w:ascii="Tahoma"/>
                <w:b/>
                <w:spacing w:val="-4"/>
                <w:sz w:val="16"/>
              </w:rPr>
              <w:t>gilt</w:t>
            </w:r>
          </w:p>
        </w:tc>
        <w:tc>
          <w:tcPr>
            <w:tcW w:w="196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67" w:lineRule="exact" w:before="11"/>
              <w:ind w:left="115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pacing w:val="-4"/>
                <w:sz w:val="16"/>
              </w:rPr>
              <w:t>8,659,114</w:t>
            </w:r>
          </w:p>
        </w:tc>
        <w:tc>
          <w:tcPr>
            <w:tcW w:w="9565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line="249" w:lineRule="auto" w:before="251"/>
        <w:ind w:left="345" w:right="148"/>
      </w:pPr>
      <w:r>
        <w:rPr/>
        <w:t>The</w:t>
      </w:r>
      <w:r>
        <w:rPr>
          <w:spacing w:val="-10"/>
        </w:rPr>
        <w:t> </w:t>
      </w:r>
      <w:r>
        <w:rPr/>
        <w:t>principal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16"/>
        </w:rPr>
        <w:t> </w:t>
      </w:r>
      <w:r>
        <w:rPr/>
        <w:t>UK</w:t>
      </w:r>
      <w:r>
        <w:rPr>
          <w:spacing w:val="-12"/>
        </w:rPr>
        <w:t> </w:t>
      </w:r>
      <w:r>
        <w:rPr/>
        <w:t>gilt</w:t>
      </w:r>
      <w:r>
        <w:rPr>
          <w:spacing w:val="-12"/>
        </w:rPr>
        <w:t> </w:t>
      </w:r>
      <w:r>
        <w:rPr/>
        <w:t>is</w:t>
      </w:r>
      <w:r>
        <w:rPr>
          <w:spacing w:val="-14"/>
        </w:rPr>
        <w:t> </w:t>
      </w:r>
      <w:r>
        <w:rPr/>
        <w:t>expected</w:t>
      </w:r>
      <w:r>
        <w:rPr>
          <w:spacing w:val="-12"/>
        </w:rPr>
        <w:t> </w:t>
      </w:r>
      <w:r>
        <w:rPr/>
        <w:t>in</w:t>
      </w:r>
      <w:r>
        <w:rPr>
          <w:spacing w:val="-12"/>
        </w:rPr>
        <w:t> </w:t>
      </w:r>
      <w:r>
        <w:rPr/>
        <w:t>Y10.</w:t>
      </w:r>
      <w:r>
        <w:rPr>
          <w:spacing w:val="-14"/>
        </w:rPr>
        <w:t> </w:t>
      </w:r>
      <w:r>
        <w:rPr/>
        <w:t>We</w:t>
      </w:r>
      <w:r>
        <w:rPr>
          <w:spacing w:val="-14"/>
        </w:rPr>
        <w:t> </w:t>
      </w:r>
      <w:r>
        <w:rPr/>
        <w:t>note</w:t>
      </w:r>
      <w:r>
        <w:rPr>
          <w:spacing w:val="-12"/>
        </w:rPr>
        <w:t> </w:t>
      </w:r>
      <w:r>
        <w:rPr/>
        <w:t>that</w:t>
      </w:r>
      <w:r>
        <w:rPr>
          <w:spacing w:val="-12"/>
        </w:rPr>
        <w:t> </w:t>
      </w:r>
      <w:r>
        <w:rPr/>
        <w:t>the</w:t>
      </w:r>
      <w:r>
        <w:rPr>
          <w:spacing w:val="-19"/>
        </w:rPr>
        <w:t> </w:t>
      </w:r>
      <w:r>
        <w:rPr/>
        <w:t>government</w:t>
      </w:r>
      <w:r>
        <w:rPr>
          <w:spacing w:val="-12"/>
        </w:rPr>
        <w:t> </w:t>
      </w:r>
      <w:r>
        <w:rPr/>
        <w:t>does</w:t>
      </w:r>
      <w:r>
        <w:rPr>
          <w:spacing w:val="-11"/>
        </w:rPr>
        <w:t> </w:t>
      </w:r>
      <w:r>
        <w:rPr/>
        <w:t>not</w:t>
      </w:r>
      <w:r>
        <w:rPr>
          <w:spacing w:val="-12"/>
        </w:rPr>
        <w:t> </w:t>
      </w:r>
      <w:r>
        <w:rPr/>
        <w:t>typically</w:t>
      </w:r>
      <w:r>
        <w:rPr>
          <w:spacing w:val="-9"/>
        </w:rPr>
        <w:t> </w:t>
      </w:r>
      <w:r>
        <w:rPr/>
        <w:t>issue</w:t>
      </w:r>
      <w:r>
        <w:rPr>
          <w:spacing w:val="-9"/>
        </w:rPr>
        <w:t> </w:t>
      </w:r>
      <w:r>
        <w:rPr/>
        <w:t>8-year</w:t>
      </w:r>
      <w:r>
        <w:rPr>
          <w:spacing w:val="-9"/>
        </w:rPr>
        <w:t> </w:t>
      </w:r>
      <w:r>
        <w:rPr/>
        <w:t>government bonds,</w:t>
      </w:r>
      <w:r>
        <w:rPr>
          <w:spacing w:val="-17"/>
        </w:rPr>
        <w:t> </w:t>
      </w:r>
      <w:r>
        <w:rPr/>
        <w:t>but</w:t>
      </w:r>
      <w:r>
        <w:rPr>
          <w:spacing w:val="-9"/>
        </w:rPr>
        <w:t> </w:t>
      </w:r>
      <w:r>
        <w:rPr/>
        <w:t>bonds</w:t>
      </w:r>
      <w:r>
        <w:rPr>
          <w:spacing w:val="-11"/>
        </w:rPr>
        <w:t> </w:t>
      </w:r>
      <w:r>
        <w:rPr/>
        <w:t>that</w:t>
      </w:r>
      <w:r>
        <w:rPr>
          <w:spacing w:val="-9"/>
        </w:rPr>
        <w:t> </w:t>
      </w:r>
      <w:r>
        <w:rPr/>
        <w:t>have</w:t>
      </w:r>
      <w:r>
        <w:rPr>
          <w:spacing w:val="-13"/>
        </w:rPr>
        <w:t> </w:t>
      </w:r>
      <w:r>
        <w:rPr/>
        <w:t>already</w:t>
      </w:r>
      <w:r>
        <w:rPr>
          <w:spacing w:val="-15"/>
        </w:rPr>
        <w:t> </w:t>
      </w:r>
      <w:r>
        <w:rPr/>
        <w:t>been</w:t>
      </w:r>
      <w:r>
        <w:rPr>
          <w:spacing w:val="-13"/>
        </w:rPr>
        <w:t> </w:t>
      </w:r>
      <w:r>
        <w:rPr/>
        <w:t>issued</w:t>
      </w:r>
      <w:r>
        <w:rPr>
          <w:spacing w:val="-15"/>
        </w:rPr>
        <w:t> </w:t>
      </w:r>
      <w:r>
        <w:rPr/>
        <w:t>can</w:t>
      </w:r>
      <w:r>
        <w:rPr>
          <w:spacing w:val="-13"/>
        </w:rPr>
        <w:t> </w:t>
      </w:r>
      <w:r>
        <w:rPr/>
        <w:t>be</w:t>
      </w:r>
      <w:r>
        <w:rPr>
          <w:spacing w:val="-13"/>
        </w:rPr>
        <w:t> </w:t>
      </w:r>
      <w:r>
        <w:rPr/>
        <w:t>purchased</w:t>
      </w:r>
      <w:r>
        <w:rPr>
          <w:spacing w:val="-11"/>
        </w:rPr>
        <w:t> </w:t>
      </w:r>
      <w:r>
        <w:rPr/>
        <w:t>which</w:t>
      </w:r>
      <w:r>
        <w:rPr>
          <w:spacing w:val="-10"/>
        </w:rPr>
        <w:t> </w:t>
      </w:r>
      <w:r>
        <w:rPr/>
        <w:t>have</w:t>
      </w:r>
      <w:r>
        <w:rPr>
          <w:spacing w:val="-15"/>
        </w:rPr>
        <w:t> </w:t>
      </w:r>
      <w:r>
        <w:rPr/>
        <w:t>8</w:t>
      </w:r>
      <w:r>
        <w:rPr>
          <w:spacing w:val="-16"/>
        </w:rPr>
        <w:t> </w:t>
      </w:r>
      <w:r>
        <w:rPr/>
        <w:t>years</w:t>
      </w:r>
      <w:r>
        <w:rPr>
          <w:spacing w:val="-11"/>
        </w:rPr>
        <w:t> </w:t>
      </w:r>
      <w:r>
        <w:rPr/>
        <w:t>to</w:t>
      </w:r>
      <w:r>
        <w:rPr>
          <w:spacing w:val="-16"/>
        </w:rPr>
        <w:t> </w:t>
      </w:r>
      <w:r>
        <w:rPr/>
        <w:t>maturity.</w:t>
      </w:r>
      <w:r>
        <w:rPr>
          <w:spacing w:val="-15"/>
        </w:rPr>
        <w:t> </w:t>
      </w:r>
      <w:r>
        <w:rPr/>
        <w:t>As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result,</w:t>
      </w:r>
      <w:r>
        <w:rPr>
          <w:spacing w:val="-13"/>
        </w:rPr>
        <w:t> </w:t>
      </w:r>
      <w:r>
        <w:rPr/>
        <w:t>the</w:t>
      </w:r>
      <w:r>
        <w:rPr>
          <w:spacing w:val="-15"/>
        </w:rPr>
        <w:t> </w:t>
      </w:r>
      <w:r>
        <w:rPr/>
        <w:t>yield</w:t>
      </w:r>
      <w:r>
        <w:rPr>
          <w:spacing w:val="-13"/>
        </w:rPr>
        <w:t> </w:t>
      </w:r>
      <w:r>
        <w:rPr/>
        <w:t>for a</w:t>
      </w:r>
      <w:r>
        <w:rPr>
          <w:spacing w:val="-15"/>
        </w:rPr>
        <w:t> </w:t>
      </w:r>
      <w:r>
        <w:rPr/>
        <w:t>10-year</w:t>
      </w:r>
      <w:r>
        <w:rPr>
          <w:spacing w:val="-13"/>
        </w:rPr>
        <w:t> </w:t>
      </w:r>
      <w:r>
        <w:rPr/>
        <w:t>government</w:t>
      </w:r>
      <w:r>
        <w:rPr>
          <w:spacing w:val="-15"/>
        </w:rPr>
        <w:t> </w:t>
      </w:r>
      <w:r>
        <w:rPr/>
        <w:t>bond</w:t>
      </w:r>
      <w:r>
        <w:rPr>
          <w:spacing w:val="-13"/>
        </w:rPr>
        <w:t> </w:t>
      </w:r>
      <w:r>
        <w:rPr/>
        <w:t>is</w:t>
      </w:r>
      <w:r>
        <w:rPr>
          <w:spacing w:val="-12"/>
        </w:rPr>
        <w:t> </w:t>
      </w:r>
      <w:r>
        <w:rPr/>
        <w:t>4.68%</w:t>
      </w:r>
      <w:r>
        <w:rPr>
          <w:spacing w:val="-13"/>
        </w:rPr>
        <w:t> </w:t>
      </w:r>
      <w:r>
        <w:rPr/>
        <w:t>which</w:t>
      </w:r>
      <w:r>
        <w:rPr>
          <w:spacing w:val="-13"/>
        </w:rPr>
        <w:t> </w:t>
      </w:r>
      <w:r>
        <w:rPr/>
        <w:t>we</w:t>
      </w:r>
      <w:r>
        <w:rPr>
          <w:spacing w:val="-13"/>
        </w:rPr>
        <w:t> </w:t>
      </w:r>
      <w:r>
        <w:rPr/>
        <w:t>consider</w:t>
      </w:r>
      <w:r>
        <w:rPr>
          <w:spacing w:val="-17"/>
        </w:rPr>
        <w:t> </w:t>
      </w:r>
      <w:r>
        <w:rPr/>
        <w:t>to</w:t>
      </w:r>
      <w:r>
        <w:rPr>
          <w:spacing w:val="-9"/>
        </w:rPr>
        <w:t> </w:t>
      </w:r>
      <w:r>
        <w:rPr/>
        <w:t>be</w:t>
      </w:r>
      <w:r>
        <w:rPr>
          <w:spacing w:val="-15"/>
        </w:rPr>
        <w:t> </w:t>
      </w:r>
      <w:r>
        <w:rPr/>
        <w:t>an</w:t>
      </w:r>
      <w:r>
        <w:rPr>
          <w:spacing w:val="-10"/>
        </w:rPr>
        <w:t> </w:t>
      </w:r>
      <w:r>
        <w:rPr/>
        <w:t>appropriate</w:t>
      </w:r>
      <w:r>
        <w:rPr>
          <w:spacing w:val="-11"/>
        </w:rPr>
        <w:t> </w:t>
      </w:r>
      <w:r>
        <w:rPr/>
        <w:t>proxy</w:t>
      </w:r>
      <w:r>
        <w:rPr>
          <w:spacing w:val="-12"/>
        </w:rPr>
        <w:t> </w:t>
      </w:r>
      <w:r>
        <w:rPr/>
        <w:t>for</w:t>
      </w:r>
      <w:r>
        <w:rPr>
          <w:spacing w:val="-15"/>
        </w:rPr>
        <w:t> </w:t>
      </w:r>
      <w:r>
        <w:rPr/>
        <w:t>a</w:t>
      </w:r>
      <w:r>
        <w:rPr>
          <w:spacing w:val="-13"/>
        </w:rPr>
        <w:t> </w:t>
      </w:r>
      <w:r>
        <w:rPr/>
        <w:t>discount</w:t>
      </w:r>
      <w:r>
        <w:rPr>
          <w:spacing w:val="-15"/>
        </w:rPr>
        <w:t> </w:t>
      </w:r>
      <w:r>
        <w:rPr/>
        <w:t>rate.</w:t>
      </w:r>
      <w:r>
        <w:rPr>
          <w:spacing w:val="-10"/>
        </w:rPr>
        <w:t> </w:t>
      </w:r>
      <w:r>
        <w:rPr/>
        <w:t>This</w:t>
      </w:r>
      <w:r>
        <w:rPr>
          <w:spacing w:val="-17"/>
        </w:rPr>
        <w:t> </w:t>
      </w:r>
      <w:r>
        <w:rPr/>
        <w:t>yield</w:t>
      </w:r>
      <w:r>
        <w:rPr>
          <w:spacing w:val="-15"/>
        </w:rPr>
        <w:t> </w:t>
      </w:r>
      <w:r>
        <w:rPr/>
        <w:t>has</w:t>
      </w:r>
      <w:r>
        <w:rPr>
          <w:spacing w:val="-13"/>
        </w:rPr>
        <w:t> </w:t>
      </w:r>
      <w:r>
        <w:rPr/>
        <w:t>been sourced</w:t>
      </w:r>
      <w:r>
        <w:rPr>
          <w:spacing w:val="-7"/>
        </w:rPr>
        <w:t> </w:t>
      </w:r>
      <w:r>
        <w:rPr/>
        <w:t>from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Financial</w:t>
      </w:r>
      <w:r>
        <w:rPr>
          <w:spacing w:val="-11"/>
        </w:rPr>
        <w:t> </w:t>
      </w:r>
      <w:r>
        <w:rPr/>
        <w:t>Times</w:t>
      </w:r>
      <w:r>
        <w:rPr>
          <w:spacing w:val="-8"/>
        </w:rPr>
        <w:t> </w:t>
      </w:r>
      <w:r>
        <w:rPr/>
        <w:t>for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/>
        <w:t>10-year</w:t>
      </w:r>
      <w:r>
        <w:rPr>
          <w:spacing w:val="-5"/>
        </w:rPr>
        <w:t> </w:t>
      </w:r>
      <w:r>
        <w:rPr/>
        <w:t>UK</w:t>
      </w:r>
      <w:r>
        <w:rPr>
          <w:spacing w:val="-8"/>
        </w:rPr>
        <w:t> </w:t>
      </w:r>
      <w:r>
        <w:rPr/>
        <w:t>government</w:t>
      </w:r>
      <w:r>
        <w:rPr>
          <w:spacing w:val="-10"/>
        </w:rPr>
        <w:t> </w:t>
      </w:r>
      <w:r>
        <w:rPr/>
        <w:t>bond.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345" w:right="76"/>
      </w:pPr>
      <w:r>
        <w:rPr/>
        <w:t>The cash</w:t>
      </w:r>
      <w:r>
        <w:rPr>
          <w:spacing w:val="-3"/>
        </w:rPr>
        <w:t> </w:t>
      </w:r>
      <w:r>
        <w:rPr/>
        <w:t>flows</w:t>
      </w:r>
      <w:r>
        <w:rPr>
          <w:spacing w:val="-3"/>
        </w:rPr>
        <w:t> </w:t>
      </w:r>
      <w:r>
        <w:rPr/>
        <w:t>generated 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gilt</w:t>
      </w:r>
      <w:r>
        <w:rPr>
          <w:spacing w:val="-1"/>
        </w:rPr>
        <w:t> </w:t>
      </w:r>
      <w:r>
        <w:rPr/>
        <w:t>expected by</w:t>
      </w:r>
      <w:r>
        <w:rPr>
          <w:spacing w:val="-1"/>
        </w:rPr>
        <w:t> </w:t>
      </w:r>
      <w:r>
        <w:rPr/>
        <w:t>Management</w:t>
      </w:r>
      <w:r>
        <w:rPr>
          <w:spacing w:val="-1"/>
        </w:rPr>
        <w:t> </w:t>
      </w:r>
      <w:r>
        <w:rPr/>
        <w:t>has</w:t>
      </w:r>
      <w:r>
        <w:rPr>
          <w:spacing w:val="-3"/>
        </w:rPr>
        <w:t> </w:t>
      </w:r>
      <w:r>
        <w:rPr/>
        <w:t>been</w:t>
      </w:r>
      <w:r>
        <w:rPr>
          <w:spacing w:val="-1"/>
        </w:rPr>
        <w:t> </w:t>
      </w:r>
      <w:r>
        <w:rPr/>
        <w:t>discounted</w:t>
      </w:r>
      <w:r>
        <w:rPr>
          <w:spacing w:val="-2"/>
        </w:rPr>
        <w:t> </w:t>
      </w:r>
      <w:r>
        <w:rPr/>
        <w:t>to the</w:t>
      </w:r>
      <w:r>
        <w:rPr>
          <w:spacing w:val="-6"/>
        </w:rPr>
        <w:t> </w:t>
      </w:r>
      <w:r>
        <w:rPr/>
        <w:t>present</w:t>
      </w:r>
      <w:r>
        <w:rPr>
          <w:spacing w:val="-1"/>
        </w:rPr>
        <w:t> </w:t>
      </w:r>
      <w:r>
        <w:rPr/>
        <w:t>value to</w:t>
      </w:r>
      <w:r>
        <w:rPr>
          <w:spacing w:val="-3"/>
        </w:rPr>
        <w:t> </w:t>
      </w:r>
      <w:r>
        <w:rPr/>
        <w:t>give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total of £8.7m as at the valuation date.</w:t>
      </w:r>
    </w:p>
    <w:p>
      <w:pPr>
        <w:pStyle w:val="BodyText"/>
        <w:spacing w:after="0" w:line="249" w:lineRule="auto"/>
        <w:sectPr>
          <w:headerReference w:type="default" r:id="rId21"/>
          <w:footerReference w:type="default" r:id="rId22"/>
          <w:pgSz w:w="15840" w:h="12240" w:orient="landscape"/>
          <w:pgMar w:header="1255" w:footer="1419" w:top="1880" w:bottom="1600" w:left="720" w:right="1080"/>
        </w:sectPr>
      </w:pPr>
    </w:p>
    <w:p>
      <w:pPr>
        <w:pStyle w:val="Heading1"/>
        <w:numPr>
          <w:ilvl w:val="0"/>
          <w:numId w:val="5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spacing w:val="-10"/>
        </w:rPr>
        <w:t>VALUATION</w:t>
      </w:r>
      <w:r>
        <w:rPr>
          <w:spacing w:val="-2"/>
        </w:rPr>
        <w:t> </w:t>
      </w:r>
      <w:r>
        <w:rPr>
          <w:spacing w:val="-10"/>
        </w:rPr>
        <w:t>CALCULATION</w:t>
      </w:r>
      <w:r>
        <w:rPr>
          <w:spacing w:val="-1"/>
        </w:rPr>
        <w:t> </w:t>
      </w:r>
      <w:r>
        <w:rPr>
          <w:spacing w:val="-10"/>
        </w:rPr>
        <w:t>–</w:t>
      </w:r>
      <w:r>
        <w:rPr>
          <w:spacing w:val="1"/>
        </w:rPr>
        <w:t> </w:t>
      </w:r>
      <w:r>
        <w:rPr>
          <w:spacing w:val="-10"/>
        </w:rPr>
        <w:t>PART</w:t>
      </w:r>
      <w:r>
        <w:rPr>
          <w:spacing w:val="-1"/>
        </w:rPr>
        <w:t> </w:t>
      </w:r>
      <w:r>
        <w:rPr>
          <w:spacing w:val="-10"/>
        </w:rPr>
        <w:t>3/3</w:t>
      </w:r>
      <w:r>
        <w:rPr>
          <w:spacing w:val="-1"/>
        </w:rPr>
        <w:t> </w:t>
      </w:r>
      <w:r>
        <w:rPr>
          <w:spacing w:val="-10"/>
        </w:rPr>
        <w:t>–</w:t>
      </w:r>
      <w:r>
        <w:rPr>
          <w:spacing w:val="-2"/>
        </w:rPr>
        <w:t> </w:t>
      </w:r>
      <w:r>
        <w:rPr>
          <w:spacing w:val="-10"/>
        </w:rPr>
        <w:t>SUMMARY</w:t>
      </w:r>
      <w:r>
        <w:rPr>
          <w:spacing w:val="-1"/>
        </w:rPr>
        <w:t> </w:t>
      </w:r>
      <w:r>
        <w:rPr>
          <w:spacing w:val="-10"/>
        </w:rPr>
        <w:t>OPINION</w:t>
      </w:r>
    </w:p>
    <w:p>
      <w:pPr>
        <w:pStyle w:val="Heading2"/>
        <w:spacing w:before="181"/>
      </w:pPr>
      <w:r>
        <w:rPr>
          <w:spacing w:val="-4"/>
        </w:rPr>
        <w:t>Summary</w:t>
      </w:r>
      <w:r>
        <w:rPr>
          <w:spacing w:val="-2"/>
        </w:rPr>
        <w:t> Opinion</w:t>
      </w:r>
    </w:p>
    <w:p>
      <w:pPr>
        <w:spacing w:line="252" w:lineRule="auto" w:before="122"/>
        <w:ind w:left="345" w:right="0" w:firstLine="0"/>
        <w:jc w:val="left"/>
        <w:rPr>
          <w:rFonts w:ascii="Tahoma" w:hAnsi="Tahoma"/>
          <w:b/>
          <w:sz w:val="22"/>
        </w:rPr>
      </w:pPr>
      <w:r>
        <w:rPr>
          <w:sz w:val="22"/>
        </w:rPr>
        <w:t>On</w:t>
      </w:r>
      <w:r>
        <w:rPr>
          <w:spacing w:val="-20"/>
          <w:sz w:val="22"/>
        </w:rPr>
        <w:t> </w:t>
      </w:r>
      <w:r>
        <w:rPr>
          <w:sz w:val="22"/>
        </w:rPr>
        <w:t>the</w:t>
      </w:r>
      <w:r>
        <w:rPr>
          <w:spacing w:val="-19"/>
          <w:sz w:val="22"/>
        </w:rPr>
        <w:t> </w:t>
      </w:r>
      <w:r>
        <w:rPr>
          <w:sz w:val="22"/>
        </w:rPr>
        <w:t>basis</w:t>
      </w:r>
      <w:r>
        <w:rPr>
          <w:spacing w:val="-19"/>
          <w:sz w:val="22"/>
        </w:rPr>
        <w:t> </w:t>
      </w:r>
      <w:r>
        <w:rPr>
          <w:sz w:val="22"/>
        </w:rPr>
        <w:t>of</w:t>
      </w:r>
      <w:r>
        <w:rPr>
          <w:spacing w:val="-20"/>
          <w:sz w:val="22"/>
        </w:rPr>
        <w:t> </w:t>
      </w:r>
      <w:r>
        <w:rPr>
          <w:sz w:val="22"/>
        </w:rPr>
        <w:t>the</w:t>
      </w:r>
      <w:r>
        <w:rPr>
          <w:spacing w:val="-19"/>
          <w:sz w:val="22"/>
        </w:rPr>
        <w:t> </w:t>
      </w:r>
      <w:r>
        <w:rPr>
          <w:sz w:val="22"/>
        </w:rPr>
        <w:t>information</w:t>
      </w:r>
      <w:r>
        <w:rPr>
          <w:spacing w:val="-18"/>
          <w:sz w:val="22"/>
        </w:rPr>
        <w:t> </w:t>
      </w:r>
      <w:r>
        <w:rPr>
          <w:sz w:val="22"/>
        </w:rPr>
        <w:t>available</w:t>
      </w:r>
      <w:r>
        <w:rPr>
          <w:spacing w:val="-19"/>
          <w:sz w:val="22"/>
        </w:rPr>
        <w:t> </w:t>
      </w:r>
      <w:r>
        <w:rPr>
          <w:sz w:val="22"/>
        </w:rPr>
        <w:t>to</w:t>
      </w:r>
      <w:r>
        <w:rPr>
          <w:spacing w:val="-18"/>
          <w:sz w:val="22"/>
        </w:rPr>
        <w:t> </w:t>
      </w:r>
      <w:r>
        <w:rPr>
          <w:sz w:val="22"/>
        </w:rPr>
        <w:t>us,</w:t>
      </w:r>
      <w:r>
        <w:rPr>
          <w:spacing w:val="-18"/>
          <w:sz w:val="22"/>
        </w:rPr>
        <w:t> </w:t>
      </w:r>
      <w:r>
        <w:rPr>
          <w:sz w:val="22"/>
        </w:rPr>
        <w:t>and</w:t>
      </w:r>
      <w:r>
        <w:rPr>
          <w:spacing w:val="-20"/>
          <w:sz w:val="22"/>
        </w:rPr>
        <w:t> </w:t>
      </w:r>
      <w:r>
        <w:rPr>
          <w:sz w:val="22"/>
        </w:rPr>
        <w:t>our</w:t>
      </w:r>
      <w:r>
        <w:rPr>
          <w:spacing w:val="-19"/>
          <w:sz w:val="22"/>
        </w:rPr>
        <w:t> </w:t>
      </w:r>
      <w:r>
        <w:rPr>
          <w:sz w:val="22"/>
        </w:rPr>
        <w:t>own</w:t>
      </w:r>
      <w:r>
        <w:rPr>
          <w:spacing w:val="-18"/>
          <w:sz w:val="22"/>
        </w:rPr>
        <w:t> </w:t>
      </w:r>
      <w:r>
        <w:rPr>
          <w:sz w:val="22"/>
        </w:rPr>
        <w:t>research</w:t>
      </w:r>
      <w:r>
        <w:rPr>
          <w:spacing w:val="-17"/>
          <w:sz w:val="22"/>
        </w:rPr>
        <w:t> </w:t>
      </w:r>
      <w:r>
        <w:rPr>
          <w:sz w:val="22"/>
        </w:rPr>
        <w:t>into</w:t>
      </w:r>
      <w:r>
        <w:rPr>
          <w:spacing w:val="-15"/>
          <w:sz w:val="22"/>
        </w:rPr>
        <w:t> </w:t>
      </w:r>
      <w:r>
        <w:rPr>
          <w:sz w:val="22"/>
        </w:rPr>
        <w:t>the</w:t>
      </w:r>
      <w:r>
        <w:rPr>
          <w:spacing w:val="-20"/>
          <w:sz w:val="22"/>
        </w:rPr>
        <w:t> </w:t>
      </w:r>
      <w:r>
        <w:rPr>
          <w:sz w:val="22"/>
        </w:rPr>
        <w:t>market,</w:t>
      </w:r>
      <w:r>
        <w:rPr>
          <w:spacing w:val="-23"/>
          <w:sz w:val="22"/>
        </w:rPr>
        <w:t> </w:t>
      </w:r>
      <w:r>
        <w:rPr>
          <w:rFonts w:ascii="Tahoma" w:hAnsi="Tahoma"/>
          <w:b/>
          <w:sz w:val="22"/>
        </w:rPr>
        <w:t>we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are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of</w:t>
      </w:r>
      <w:r>
        <w:rPr>
          <w:rFonts w:ascii="Tahoma" w:hAnsi="Tahoma"/>
          <w:b/>
          <w:spacing w:val="-3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opinion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as</w:t>
      </w:r>
      <w:r>
        <w:rPr>
          <w:rFonts w:ascii="Tahoma" w:hAnsi="Tahoma"/>
          <w:b/>
          <w:spacing w:val="-3"/>
          <w:sz w:val="22"/>
        </w:rPr>
        <w:t> </w:t>
      </w:r>
      <w:r>
        <w:rPr>
          <w:rFonts w:ascii="Tahoma" w:hAnsi="Tahoma"/>
          <w:b/>
          <w:sz w:val="22"/>
        </w:rPr>
        <w:t>at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17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z w:val="22"/>
        </w:rPr>
        <w:t>March 2025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z w:val="22"/>
        </w:rPr>
        <w:t>total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Market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Value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of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Project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assuming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the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z w:val="22"/>
        </w:rPr>
        <w:t>forecasts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provided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to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us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are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executed,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was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£27.5m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as</w:t>
      </w:r>
      <w:r>
        <w:rPr>
          <w:rFonts w:ascii="Tahoma" w:hAnsi="Tahoma"/>
          <w:b/>
          <w:spacing w:val="-5"/>
          <w:sz w:val="22"/>
        </w:rPr>
        <w:t> </w:t>
      </w:r>
      <w:r>
        <w:rPr>
          <w:rFonts w:ascii="Tahoma" w:hAnsi="Tahoma"/>
          <w:b/>
          <w:sz w:val="22"/>
        </w:rPr>
        <w:t>made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z w:val="22"/>
        </w:rPr>
        <w:t>up:</w:t>
      </w:r>
    </w:p>
    <w:p>
      <w:pPr>
        <w:pStyle w:val="ListParagraph"/>
        <w:numPr>
          <w:ilvl w:val="1"/>
          <w:numId w:val="5"/>
        </w:numPr>
        <w:tabs>
          <w:tab w:pos="1022" w:val="left" w:leader="none"/>
        </w:tabs>
        <w:spacing w:line="240" w:lineRule="auto" w:before="221" w:after="0"/>
        <w:ind w:left="1022" w:right="0" w:hanging="339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pacing w:val="-8"/>
          <w:sz w:val="22"/>
        </w:rPr>
        <w:t>£18.8m</w:t>
      </w:r>
      <w:r>
        <w:rPr>
          <w:rFonts w:ascii="Tahoma" w:hAnsi="Tahoma"/>
          <w:b/>
          <w:spacing w:val="-7"/>
          <w:sz w:val="22"/>
        </w:rPr>
        <w:t> </w:t>
      </w:r>
      <w:r>
        <w:rPr>
          <w:rFonts w:ascii="Tahoma" w:hAnsi="Tahoma"/>
          <w:b/>
          <w:spacing w:val="-8"/>
          <w:sz w:val="22"/>
        </w:rPr>
        <w:t>for</w:t>
      </w:r>
      <w:r>
        <w:rPr>
          <w:rFonts w:ascii="Tahoma" w:hAnsi="Tahoma"/>
          <w:b/>
          <w:spacing w:val="-4"/>
          <w:sz w:val="22"/>
        </w:rPr>
        <w:t> </w:t>
      </w:r>
      <w:r>
        <w:rPr>
          <w:rFonts w:ascii="Tahoma" w:hAnsi="Tahoma"/>
          <w:b/>
          <w:spacing w:val="-8"/>
          <w:sz w:val="22"/>
        </w:rPr>
        <w:t>the</w:t>
      </w:r>
      <w:r>
        <w:rPr>
          <w:rFonts w:ascii="Tahoma" w:hAnsi="Tahoma"/>
          <w:b/>
          <w:spacing w:val="-4"/>
          <w:sz w:val="22"/>
        </w:rPr>
        <w:t> </w:t>
      </w:r>
      <w:r>
        <w:rPr>
          <w:rFonts w:ascii="Tahoma" w:hAnsi="Tahoma"/>
          <w:b/>
          <w:spacing w:val="-8"/>
          <w:sz w:val="22"/>
        </w:rPr>
        <w:t>forestry</w:t>
      </w:r>
      <w:r>
        <w:rPr>
          <w:rFonts w:ascii="Tahoma" w:hAnsi="Tahoma"/>
          <w:b/>
          <w:spacing w:val="-6"/>
          <w:sz w:val="22"/>
        </w:rPr>
        <w:t> </w:t>
      </w:r>
      <w:r>
        <w:rPr>
          <w:rFonts w:ascii="Tahoma" w:hAnsi="Tahoma"/>
          <w:b/>
          <w:spacing w:val="-8"/>
          <w:sz w:val="22"/>
        </w:rPr>
        <w:t>estate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pacing w:val="-8"/>
          <w:sz w:val="22"/>
        </w:rPr>
        <w:t>project</w:t>
      </w:r>
    </w:p>
    <w:p>
      <w:pPr>
        <w:pStyle w:val="ListParagraph"/>
        <w:numPr>
          <w:ilvl w:val="1"/>
          <w:numId w:val="5"/>
        </w:numPr>
        <w:tabs>
          <w:tab w:pos="1022" w:val="left" w:leader="none"/>
        </w:tabs>
        <w:spacing w:line="240" w:lineRule="auto" w:before="232" w:after="0"/>
        <w:ind w:left="1022" w:right="0" w:hanging="339"/>
        <w:jc w:val="left"/>
        <w:rPr>
          <w:rFonts w:ascii="Tahoma" w:hAnsi="Tahoma"/>
          <w:b/>
          <w:sz w:val="22"/>
        </w:rPr>
      </w:pPr>
      <w:r>
        <w:rPr>
          <w:rFonts w:ascii="Tahoma" w:hAnsi="Tahoma"/>
          <w:b/>
          <w:spacing w:val="-8"/>
          <w:sz w:val="22"/>
        </w:rPr>
        <w:t>£8.7m</w:t>
      </w:r>
      <w:r>
        <w:rPr>
          <w:rFonts w:ascii="Tahoma" w:hAnsi="Tahoma"/>
          <w:b/>
          <w:spacing w:val="-1"/>
          <w:sz w:val="22"/>
        </w:rPr>
        <w:t> </w:t>
      </w:r>
      <w:r>
        <w:rPr>
          <w:rFonts w:ascii="Tahoma" w:hAnsi="Tahoma"/>
          <w:b/>
          <w:spacing w:val="-8"/>
          <w:sz w:val="22"/>
        </w:rPr>
        <w:t>investment</w:t>
      </w:r>
      <w:r>
        <w:rPr>
          <w:rFonts w:ascii="Tahoma" w:hAnsi="Tahoma"/>
          <w:b/>
          <w:spacing w:val="-2"/>
          <w:sz w:val="22"/>
        </w:rPr>
        <w:t> </w:t>
      </w:r>
      <w:r>
        <w:rPr>
          <w:rFonts w:ascii="Tahoma" w:hAnsi="Tahoma"/>
          <w:b/>
          <w:spacing w:val="-8"/>
          <w:sz w:val="22"/>
        </w:rPr>
        <w:t>in</w:t>
      </w:r>
      <w:r>
        <w:rPr>
          <w:rFonts w:ascii="Tahoma" w:hAnsi="Tahoma"/>
          <w:b/>
          <w:spacing w:val="3"/>
          <w:sz w:val="22"/>
        </w:rPr>
        <w:t> </w:t>
      </w:r>
      <w:r>
        <w:rPr>
          <w:rFonts w:ascii="Tahoma" w:hAnsi="Tahoma"/>
          <w:b/>
          <w:spacing w:val="-8"/>
          <w:sz w:val="22"/>
        </w:rPr>
        <w:t>gilts</w:t>
      </w:r>
    </w:p>
    <w:p>
      <w:pPr>
        <w:pStyle w:val="ListParagraph"/>
        <w:spacing w:after="0" w:line="240" w:lineRule="auto"/>
        <w:jc w:val="left"/>
        <w:rPr>
          <w:rFonts w:ascii="Tahoma" w:hAnsi="Tahoma"/>
          <w:b/>
          <w:sz w:val="22"/>
        </w:rPr>
        <w:sectPr>
          <w:headerReference w:type="default" r:id="rId23"/>
          <w:footerReference w:type="default" r:id="rId24"/>
          <w:pgSz w:w="15840" w:h="12240" w:orient="landscape"/>
          <w:pgMar w:header="1255" w:footer="1419" w:top="1880" w:bottom="1600" w:left="720" w:right="1080"/>
          <w:pgNumType w:start="1"/>
        </w:sectPr>
      </w:pPr>
    </w:p>
    <w:p>
      <w:pPr>
        <w:pStyle w:val="Heading1"/>
        <w:numPr>
          <w:ilvl w:val="0"/>
          <w:numId w:val="5"/>
        </w:numPr>
        <w:tabs>
          <w:tab w:pos="824" w:val="left" w:leader="none"/>
        </w:tabs>
        <w:spacing w:line="240" w:lineRule="auto" w:before="235" w:after="0"/>
        <w:ind w:left="824" w:right="0" w:hanging="479"/>
        <w:jc w:val="left"/>
      </w:pPr>
      <w:r>
        <w:rPr>
          <w:w w:val="90"/>
        </w:rPr>
        <w:t>VALUER</w:t>
      </w:r>
      <w:r>
        <w:rPr>
          <w:spacing w:val="20"/>
        </w:rPr>
        <w:t> </w:t>
      </w:r>
      <w:r>
        <w:rPr>
          <w:spacing w:val="-2"/>
        </w:rPr>
        <w:t>RESPONSIBLE</w:t>
      </w:r>
    </w:p>
    <w:p>
      <w:pPr>
        <w:pStyle w:val="BodyText"/>
        <w:spacing w:line="372" w:lineRule="auto" w:before="180"/>
        <w:ind w:left="1022" w:right="159" w:hanging="677"/>
      </w:pPr>
      <w:r>
        <w:rPr/>
        <w:t>The above valuation was carried out on behalf of VC</w:t>
      </w:r>
      <w:r>
        <w:rPr>
          <w:spacing w:val="-1"/>
        </w:rPr>
        <w:t> </w:t>
      </w:r>
      <w:r>
        <w:rPr/>
        <w:t>by Ben Macnaghten ACA MRICS (“BM”).</w:t>
      </w:r>
      <w:r>
        <w:rPr>
          <w:spacing w:val="80"/>
        </w:rPr>
        <w:t> </w:t>
      </w:r>
      <w:r>
        <w:rPr/>
        <w:t>VC and BM can confirm </w:t>
      </w:r>
      <w:r>
        <w:rPr>
          <w:spacing w:val="-2"/>
        </w:rPr>
        <w:t>that: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6"/>
        </w:numPr>
        <w:tabs>
          <w:tab w:pos="1010" w:val="left" w:leader="none"/>
        </w:tabs>
        <w:spacing w:line="249" w:lineRule="auto" w:before="0" w:after="0"/>
        <w:ind w:left="1010" w:right="611" w:hanging="334"/>
        <w:jc w:val="left"/>
        <w:rPr>
          <w:sz w:val="22"/>
        </w:rPr>
      </w:pPr>
      <w:r>
        <w:rPr>
          <w:sz w:val="22"/>
        </w:rPr>
        <w:t>VC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BM have committed</w:t>
      </w:r>
      <w:r>
        <w:rPr>
          <w:spacing w:val="-1"/>
          <w:sz w:val="22"/>
        </w:rPr>
        <w:t> </w:t>
      </w:r>
      <w:r>
        <w:rPr>
          <w:sz w:val="22"/>
        </w:rPr>
        <w:t>appropriate resources who</w:t>
      </w:r>
      <w:r>
        <w:rPr>
          <w:spacing w:val="-2"/>
          <w:sz w:val="22"/>
        </w:rPr>
        <w:t> </w:t>
      </w:r>
      <w:r>
        <w:rPr>
          <w:sz w:val="22"/>
        </w:rPr>
        <w:t>were</w:t>
      </w:r>
      <w:r>
        <w:rPr>
          <w:spacing w:val="-4"/>
          <w:sz w:val="22"/>
        </w:rPr>
        <w:t> </w:t>
      </w:r>
      <w:r>
        <w:rPr>
          <w:sz w:val="22"/>
        </w:rPr>
        <w:t>suitably qualified and experienced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carry out</w:t>
      </w:r>
      <w:r>
        <w:rPr>
          <w:spacing w:val="-2"/>
          <w:sz w:val="22"/>
        </w:rPr>
        <w:t> </w:t>
      </w:r>
      <w:r>
        <w:rPr>
          <w:sz w:val="22"/>
        </w:rPr>
        <w:t>the valuation in accordance with the timescale set out in this letter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6"/>
        </w:numPr>
        <w:tabs>
          <w:tab w:pos="1009" w:val="left" w:leader="none"/>
        </w:tabs>
        <w:spacing w:line="240" w:lineRule="auto" w:before="1" w:after="0"/>
        <w:ind w:left="1009" w:right="0" w:hanging="337"/>
        <w:jc w:val="left"/>
        <w:rPr>
          <w:sz w:val="22"/>
        </w:rPr>
      </w:pPr>
      <w:r>
        <w:rPr>
          <w:sz w:val="22"/>
        </w:rPr>
        <w:t>VC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BM</w:t>
      </w:r>
      <w:r>
        <w:rPr>
          <w:spacing w:val="1"/>
          <w:sz w:val="22"/>
        </w:rPr>
        <w:t> </w:t>
      </w:r>
      <w:r>
        <w:rPr>
          <w:sz w:val="22"/>
        </w:rPr>
        <w:t>were in</w:t>
      </w:r>
      <w:r>
        <w:rPr>
          <w:spacing w:val="-6"/>
          <w:sz w:val="22"/>
        </w:rPr>
        <w:t> </w:t>
      </w:r>
      <w:r>
        <w:rPr>
          <w:sz w:val="22"/>
        </w:rPr>
        <w:t>a position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4"/>
          <w:sz w:val="22"/>
        </w:rPr>
        <w:t> </w:t>
      </w: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objective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unbiased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valuation</w:t>
      </w:r>
    </w:p>
    <w:p>
      <w:pPr>
        <w:pStyle w:val="BodyText"/>
        <w:spacing w:before="151"/>
      </w:pPr>
    </w:p>
    <w:p>
      <w:pPr>
        <w:pStyle w:val="ListParagraph"/>
        <w:numPr>
          <w:ilvl w:val="0"/>
          <w:numId w:val="6"/>
        </w:numPr>
        <w:tabs>
          <w:tab w:pos="1008" w:val="left" w:leader="none"/>
          <w:tab w:pos="1010" w:val="left" w:leader="none"/>
        </w:tabs>
        <w:spacing w:line="372" w:lineRule="auto" w:before="0" w:after="0"/>
        <w:ind w:left="1010" w:right="717" w:hanging="339"/>
        <w:jc w:val="left"/>
        <w:rPr>
          <w:sz w:val="22"/>
        </w:rPr>
      </w:pPr>
      <w:r>
        <w:rPr>
          <w:sz w:val="22"/>
        </w:rPr>
        <w:t>VC</w:t>
      </w:r>
      <w:r>
        <w:rPr>
          <w:spacing w:val="-11"/>
          <w:sz w:val="22"/>
        </w:rPr>
        <w:t> </w:t>
      </w:r>
      <w:r>
        <w:rPr>
          <w:sz w:val="22"/>
        </w:rPr>
        <w:t>and</w:t>
      </w:r>
      <w:r>
        <w:rPr>
          <w:spacing w:val="-10"/>
          <w:sz w:val="22"/>
        </w:rPr>
        <w:t> </w:t>
      </w:r>
      <w:r>
        <w:rPr>
          <w:sz w:val="22"/>
        </w:rPr>
        <w:t>BM</w:t>
      </w:r>
      <w:r>
        <w:rPr>
          <w:spacing w:val="-8"/>
          <w:sz w:val="22"/>
        </w:rPr>
        <w:t> </w:t>
      </w:r>
      <w:r>
        <w:rPr>
          <w:sz w:val="22"/>
        </w:rPr>
        <w:t>had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13"/>
          <w:sz w:val="22"/>
        </w:rPr>
        <w:t> </w:t>
      </w:r>
      <w:r>
        <w:rPr>
          <w:sz w:val="22"/>
        </w:rPr>
        <w:t>material</w:t>
      </w:r>
      <w:r>
        <w:rPr>
          <w:spacing w:val="-9"/>
          <w:sz w:val="22"/>
        </w:rPr>
        <w:t> </w:t>
      </w:r>
      <w:r>
        <w:rPr>
          <w:sz w:val="22"/>
        </w:rPr>
        <w:t>connection</w:t>
      </w:r>
      <w:r>
        <w:rPr>
          <w:spacing w:val="-13"/>
          <w:sz w:val="22"/>
        </w:rPr>
        <w:t> </w:t>
      </w:r>
      <w:r>
        <w:rPr>
          <w:sz w:val="22"/>
        </w:rPr>
        <w:t>or</w:t>
      </w:r>
      <w:r>
        <w:rPr>
          <w:spacing w:val="-7"/>
          <w:sz w:val="22"/>
        </w:rPr>
        <w:t> </w:t>
      </w:r>
      <w:r>
        <w:rPr>
          <w:sz w:val="22"/>
        </w:rPr>
        <w:t>involvement</w:t>
      </w:r>
      <w:r>
        <w:rPr>
          <w:spacing w:val="-9"/>
          <w:sz w:val="22"/>
        </w:rPr>
        <w:t> </w:t>
      </w:r>
      <w:r>
        <w:rPr>
          <w:sz w:val="22"/>
        </w:rPr>
        <w:t>with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subject</w:t>
      </w:r>
      <w:r>
        <w:rPr>
          <w:spacing w:val="-11"/>
          <w:sz w:val="22"/>
        </w:rPr>
        <w:t> </w:t>
      </w:r>
      <w:r>
        <w:rPr>
          <w:sz w:val="22"/>
        </w:rPr>
        <w:t>of</w:t>
      </w:r>
      <w:r>
        <w:rPr>
          <w:spacing w:val="-11"/>
          <w:sz w:val="22"/>
        </w:rPr>
        <w:t> </w:t>
      </w:r>
      <w:r>
        <w:rPr>
          <w:sz w:val="22"/>
        </w:rPr>
        <w:t>the</w:t>
      </w:r>
      <w:r>
        <w:rPr>
          <w:spacing w:val="-13"/>
          <w:sz w:val="22"/>
        </w:rPr>
        <w:t> </w:t>
      </w:r>
      <w:r>
        <w:rPr>
          <w:sz w:val="22"/>
        </w:rPr>
        <w:t>valuation</w:t>
      </w:r>
      <w:r>
        <w:rPr>
          <w:spacing w:val="-11"/>
          <w:sz w:val="22"/>
        </w:rPr>
        <w:t> </w:t>
      </w:r>
      <w:r>
        <w:rPr>
          <w:sz w:val="22"/>
        </w:rPr>
        <w:t>assignment</w:t>
      </w:r>
      <w:r>
        <w:rPr>
          <w:spacing w:val="-9"/>
          <w:sz w:val="22"/>
        </w:rPr>
        <w:t> </w:t>
      </w:r>
      <w:r>
        <w:rPr>
          <w:sz w:val="22"/>
        </w:rPr>
        <w:t>or</w:t>
      </w:r>
      <w:r>
        <w:rPr>
          <w:spacing w:val="-14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party commissioning the assignment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6"/>
        </w:numPr>
        <w:tabs>
          <w:tab w:pos="1010" w:val="left" w:leader="none"/>
        </w:tabs>
        <w:spacing w:line="247" w:lineRule="auto" w:before="1" w:after="0"/>
        <w:ind w:left="1010" w:right="185" w:hanging="334"/>
        <w:jc w:val="left"/>
        <w:rPr>
          <w:sz w:val="22"/>
        </w:rPr>
      </w:pPr>
      <w:r>
        <w:rPr>
          <w:sz w:val="22"/>
        </w:rPr>
        <w:t>VC</w:t>
      </w:r>
      <w:r>
        <w:rPr>
          <w:spacing w:val="-8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BM</w:t>
      </w:r>
      <w:r>
        <w:rPr>
          <w:spacing w:val="-5"/>
          <w:sz w:val="22"/>
        </w:rPr>
        <w:t> </w:t>
      </w:r>
      <w:r>
        <w:rPr>
          <w:sz w:val="22"/>
        </w:rPr>
        <w:t>were</w:t>
      </w:r>
      <w:r>
        <w:rPr>
          <w:spacing w:val="-6"/>
          <w:sz w:val="22"/>
        </w:rPr>
        <w:t> </w:t>
      </w:r>
      <w:r>
        <w:rPr>
          <w:sz w:val="22"/>
        </w:rPr>
        <w:t>competent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9"/>
          <w:sz w:val="22"/>
        </w:rPr>
        <w:t> </w:t>
      </w:r>
      <w:r>
        <w:rPr>
          <w:sz w:val="22"/>
        </w:rPr>
        <w:t>undertake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valuation</w:t>
      </w:r>
      <w:r>
        <w:rPr>
          <w:spacing w:val="-8"/>
          <w:sz w:val="22"/>
        </w:rPr>
        <w:t> </w:t>
      </w:r>
      <w:r>
        <w:rPr>
          <w:sz w:val="22"/>
        </w:rPr>
        <w:t>assignment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have</w:t>
      </w:r>
      <w:r>
        <w:rPr>
          <w:spacing w:val="-8"/>
          <w:sz w:val="22"/>
        </w:rPr>
        <w:t> </w:t>
      </w:r>
      <w:r>
        <w:rPr>
          <w:sz w:val="22"/>
        </w:rPr>
        <w:t>carried</w:t>
      </w:r>
      <w:r>
        <w:rPr>
          <w:spacing w:val="-5"/>
          <w:sz w:val="22"/>
        </w:rPr>
        <w:t> </w:t>
      </w:r>
      <w:r>
        <w:rPr>
          <w:sz w:val="22"/>
        </w:rPr>
        <w:t>out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Services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8"/>
          <w:sz w:val="22"/>
        </w:rPr>
        <w:t> </w:t>
      </w:r>
      <w:r>
        <w:rPr>
          <w:sz w:val="22"/>
        </w:rPr>
        <w:t>an</w:t>
      </w:r>
      <w:r>
        <w:rPr>
          <w:spacing w:val="-6"/>
          <w:sz w:val="22"/>
        </w:rPr>
        <w:t> </w:t>
      </w:r>
      <w:r>
        <w:rPr>
          <w:sz w:val="22"/>
        </w:rPr>
        <w:t>efficient, diligent and professional manner and with reasonable skill and care as is expected of a properly qualified and competent</w:t>
      </w:r>
      <w:r>
        <w:rPr>
          <w:spacing w:val="-9"/>
          <w:sz w:val="22"/>
        </w:rPr>
        <w:t> </w:t>
      </w:r>
      <w:r>
        <w:rPr>
          <w:sz w:val="22"/>
        </w:rPr>
        <w:t>member</w:t>
      </w:r>
      <w:r>
        <w:rPr>
          <w:spacing w:val="-9"/>
          <w:sz w:val="22"/>
        </w:rPr>
        <w:t> </w:t>
      </w:r>
      <w:r>
        <w:rPr>
          <w:sz w:val="22"/>
        </w:rPr>
        <w:t>of</w:t>
      </w:r>
      <w:r>
        <w:rPr>
          <w:spacing w:val="-9"/>
          <w:sz w:val="22"/>
        </w:rPr>
        <w:t> </w:t>
      </w:r>
      <w:r>
        <w:rPr>
          <w:sz w:val="22"/>
        </w:rPr>
        <w:t>its</w:t>
      </w:r>
      <w:r>
        <w:rPr>
          <w:spacing w:val="-4"/>
          <w:sz w:val="22"/>
        </w:rPr>
        <w:t> </w:t>
      </w:r>
      <w:r>
        <w:rPr>
          <w:sz w:val="22"/>
        </w:rPr>
        <w:t>profession</w:t>
      </w:r>
      <w:r>
        <w:rPr>
          <w:spacing w:val="-9"/>
          <w:sz w:val="22"/>
        </w:rPr>
        <w:t> </w:t>
      </w:r>
      <w:r>
        <w:rPr>
          <w:sz w:val="22"/>
        </w:rPr>
        <w:t>experienced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carrying</w:t>
      </w:r>
      <w:r>
        <w:rPr>
          <w:spacing w:val="-7"/>
          <w:sz w:val="22"/>
        </w:rPr>
        <w:t> </w:t>
      </w:r>
      <w:r>
        <w:rPr>
          <w:sz w:val="22"/>
        </w:rPr>
        <w:t>out</w:t>
      </w:r>
      <w:r>
        <w:rPr>
          <w:spacing w:val="-7"/>
          <w:sz w:val="22"/>
        </w:rPr>
        <w:t> </w:t>
      </w:r>
      <w:r>
        <w:rPr>
          <w:sz w:val="22"/>
        </w:rPr>
        <w:t>similar</w:t>
      </w:r>
      <w:r>
        <w:rPr>
          <w:spacing w:val="-10"/>
          <w:sz w:val="22"/>
        </w:rPr>
        <w:t> </w:t>
      </w:r>
      <w:r>
        <w:rPr>
          <w:sz w:val="22"/>
        </w:rPr>
        <w:t>work.</w:t>
      </w:r>
    </w:p>
    <w:p>
      <w:pPr>
        <w:pStyle w:val="BodyText"/>
        <w:spacing w:before="7"/>
      </w:pPr>
    </w:p>
    <w:p>
      <w:pPr>
        <w:pStyle w:val="BodyText"/>
        <w:ind w:left="345"/>
      </w:pPr>
      <w:r>
        <w:rPr>
          <w:w w:val="105"/>
        </w:rPr>
        <w:t>VC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BM can</w:t>
      </w:r>
      <w:r>
        <w:rPr>
          <w:spacing w:val="-5"/>
          <w:w w:val="105"/>
        </w:rPr>
        <w:t> </w:t>
      </w:r>
      <w:r>
        <w:rPr>
          <w:w w:val="105"/>
        </w:rPr>
        <w:t>be</w:t>
      </w:r>
      <w:r>
        <w:rPr>
          <w:spacing w:val="-2"/>
          <w:w w:val="105"/>
        </w:rPr>
        <w:t> </w:t>
      </w:r>
      <w:r>
        <w:rPr>
          <w:w w:val="105"/>
        </w:rPr>
        <w:t>contacted</w:t>
      </w:r>
      <w:r>
        <w:rPr>
          <w:spacing w:val="3"/>
          <w:w w:val="105"/>
        </w:rPr>
        <w:t> </w:t>
      </w:r>
      <w:r>
        <w:rPr>
          <w:w w:val="105"/>
        </w:rPr>
        <w:t>at</w:t>
      </w:r>
      <w:r>
        <w:rPr>
          <w:spacing w:val="-4"/>
          <w:w w:val="105"/>
        </w:rPr>
        <w:t> </w:t>
      </w:r>
      <w:hyperlink r:id="rId9">
        <w:r>
          <w:rPr>
            <w:spacing w:val="-2"/>
            <w:w w:val="105"/>
          </w:rPr>
          <w:t>ben.macnaghten@valuationconsulting.com</w:t>
        </w:r>
      </w:hyperlink>
    </w:p>
    <w:sectPr>
      <w:pgSz w:w="15840" w:h="12240" w:orient="landscape"/>
      <w:pgMar w:header="1255" w:footer="1419" w:top="1880" w:bottom="160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5056">
              <wp:simplePos x="0" y="0"/>
              <wp:positionH relativeFrom="page">
                <wp:posOffset>663956</wp:posOffset>
              </wp:positionH>
              <wp:positionV relativeFrom="page">
                <wp:posOffset>6835202</wp:posOffset>
              </wp:positionV>
              <wp:extent cx="698500" cy="1720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9850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March</w:t>
                          </w:r>
                          <w:r>
                            <w:rPr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.280003pt;margin-top:538.204895pt;width:55pt;height:13.55pt;mso-position-horizontal-relative:page;mso-position-vertical-relative:page;z-index:-16871424" type="#_x0000_t202" id="docshape1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March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pacing w:val="-8"/>
                        <w:sz w:val="18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6080">
              <wp:simplePos x="0" y="0"/>
              <wp:positionH relativeFrom="page">
                <wp:posOffset>658368</wp:posOffset>
              </wp:positionH>
              <wp:positionV relativeFrom="page">
                <wp:posOffset>6693407</wp:posOffset>
              </wp:positionV>
              <wp:extent cx="8620125" cy="5080"/>
              <wp:effectExtent l="0" t="0" r="0" b="0"/>
              <wp:wrapNone/>
              <wp:docPr id="8" name="Graphic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Graphic 8"/>
                    <wps:cNvSpPr/>
                    <wps:spPr>
                      <a:xfrm>
                        <a:off x="0" y="0"/>
                        <a:ext cx="862012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20125" h="5080">
                            <a:moveTo>
                              <a:pt x="8619744" y="4572"/>
                            </a:moveTo>
                            <a:lnTo>
                              <a:pt x="0" y="4572"/>
                            </a:lnTo>
                            <a:lnTo>
                              <a:pt x="0" y="0"/>
                            </a:lnTo>
                            <a:lnTo>
                              <a:pt x="8619744" y="0"/>
                            </a:lnTo>
                            <a:lnTo>
                              <a:pt x="8619744" y="45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1.840004pt;margin-top:527.039978pt;width:678.720011pt;height:.360031pt;mso-position-horizontal-relative:page;mso-position-vertical-relative:page;z-index:-16870400" id="docshape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6592">
              <wp:simplePos x="0" y="0"/>
              <wp:positionH relativeFrom="page">
                <wp:posOffset>663956</wp:posOffset>
              </wp:positionH>
              <wp:positionV relativeFrom="page">
                <wp:posOffset>6691945</wp:posOffset>
              </wp:positionV>
              <wp:extent cx="1212215" cy="31496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21221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25022</w:t>
                          </w:r>
                          <w:r>
                            <w:rPr>
                              <w:spacing w:val="-10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w w:val="90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3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18"/>
                            </w:rPr>
                            <w:t>Trees4Good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March</w:t>
                          </w:r>
                          <w:r>
                            <w:rPr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280003pt;margin-top:526.924866pt;width:95.45pt;height:24.8pt;mso-position-horizontal-relative:page;mso-position-vertical-relative:page;z-index:-16869888" type="#_x0000_t202" id="docshape4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25022</w:t>
                    </w:r>
                    <w:r>
                      <w:rPr>
                        <w:spacing w:val="-10"/>
                        <w:w w:val="90"/>
                        <w:sz w:val="18"/>
                      </w:rPr>
                      <w:t> </w:t>
                    </w:r>
                    <w:r>
                      <w:rPr>
                        <w:w w:val="90"/>
                        <w:sz w:val="18"/>
                      </w:rPr>
                      <w:t>–</w:t>
                    </w:r>
                    <w:r>
                      <w:rPr>
                        <w:spacing w:val="32"/>
                        <w:sz w:val="18"/>
                      </w:rPr>
                      <w:t> </w:t>
                    </w:r>
                    <w:r>
                      <w:rPr>
                        <w:spacing w:val="-2"/>
                        <w:w w:val="90"/>
                        <w:sz w:val="18"/>
                      </w:rPr>
                      <w:t>Trees4Good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March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7104">
              <wp:simplePos x="0" y="0"/>
              <wp:positionH relativeFrom="page">
                <wp:posOffset>8202104</wp:posOffset>
              </wp:positionH>
              <wp:positionV relativeFrom="page">
                <wp:posOffset>6691945</wp:posOffset>
              </wp:positionV>
              <wp:extent cx="749935" cy="17208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749935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3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5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5.834961pt;margin-top:526.924866pt;width:59.05pt;height:13.55pt;mso-position-horizontal-relative:page;mso-position-vertical-relative:page;z-index:-16869376" type="#_x0000_t202" id="docshape5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3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22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8128">
              <wp:simplePos x="0" y="0"/>
              <wp:positionH relativeFrom="page">
                <wp:posOffset>658368</wp:posOffset>
              </wp:positionH>
              <wp:positionV relativeFrom="page">
                <wp:posOffset>6693407</wp:posOffset>
              </wp:positionV>
              <wp:extent cx="8620125" cy="5080"/>
              <wp:effectExtent l="0" t="0" r="0" b="0"/>
              <wp:wrapNone/>
              <wp:docPr id="13" name="Graphic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Graphic 13"/>
                    <wps:cNvSpPr/>
                    <wps:spPr>
                      <a:xfrm>
                        <a:off x="0" y="0"/>
                        <a:ext cx="862012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20125" h="5080">
                            <a:moveTo>
                              <a:pt x="8619744" y="4572"/>
                            </a:moveTo>
                            <a:lnTo>
                              <a:pt x="0" y="4572"/>
                            </a:lnTo>
                            <a:lnTo>
                              <a:pt x="0" y="0"/>
                            </a:lnTo>
                            <a:lnTo>
                              <a:pt x="8619744" y="0"/>
                            </a:lnTo>
                            <a:lnTo>
                              <a:pt x="8619744" y="45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1.840004pt;margin-top:527.039978pt;width:678.720011pt;height:.360031pt;mso-position-horizontal-relative:page;mso-position-vertical-relative:page;z-index:-16868352" id="docshape6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8640">
              <wp:simplePos x="0" y="0"/>
              <wp:positionH relativeFrom="page">
                <wp:posOffset>663956</wp:posOffset>
              </wp:positionH>
              <wp:positionV relativeFrom="page">
                <wp:posOffset>6691945</wp:posOffset>
              </wp:positionV>
              <wp:extent cx="1212215" cy="314960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121221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25022</w:t>
                          </w:r>
                          <w:r>
                            <w:rPr>
                              <w:spacing w:val="-10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w w:val="90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3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18"/>
                            </w:rPr>
                            <w:t>Trees4Good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March</w:t>
                          </w:r>
                          <w:r>
                            <w:rPr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280003pt;margin-top:526.924866pt;width:95.45pt;height:24.8pt;mso-position-horizontal-relative:page;mso-position-vertical-relative:page;z-index:-16867840" type="#_x0000_t202" id="docshape7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25022</w:t>
                    </w:r>
                    <w:r>
                      <w:rPr>
                        <w:spacing w:val="-10"/>
                        <w:w w:val="90"/>
                        <w:sz w:val="18"/>
                      </w:rPr>
                      <w:t> </w:t>
                    </w:r>
                    <w:r>
                      <w:rPr>
                        <w:w w:val="90"/>
                        <w:sz w:val="18"/>
                      </w:rPr>
                      <w:t>–</w:t>
                    </w:r>
                    <w:r>
                      <w:rPr>
                        <w:spacing w:val="32"/>
                        <w:sz w:val="18"/>
                      </w:rPr>
                      <w:t> </w:t>
                    </w:r>
                    <w:r>
                      <w:rPr>
                        <w:spacing w:val="-2"/>
                        <w:w w:val="90"/>
                        <w:sz w:val="18"/>
                      </w:rPr>
                      <w:t>Trees4Good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March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49152">
              <wp:simplePos x="0" y="0"/>
              <wp:positionH relativeFrom="page">
                <wp:posOffset>8202104</wp:posOffset>
              </wp:positionH>
              <wp:positionV relativeFrom="page">
                <wp:posOffset>6691945</wp:posOffset>
              </wp:positionV>
              <wp:extent cx="816610" cy="17208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81661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10 of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5.834961pt;margin-top:526.924866pt;width:64.3pt;height:13.55pt;mso-position-horizontal-relative:page;mso-position-vertical-relative:page;z-index:-16867328" type="#_x0000_t202" id="docshape8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10 of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7"/>
                        <w:sz w:val="18"/>
                      </w:rPr>
                      <w:t>22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0176">
              <wp:simplePos x="0" y="0"/>
              <wp:positionH relativeFrom="page">
                <wp:posOffset>658368</wp:posOffset>
              </wp:positionH>
              <wp:positionV relativeFrom="page">
                <wp:posOffset>6693407</wp:posOffset>
              </wp:positionV>
              <wp:extent cx="8620125" cy="508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862012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20125" h="5080">
                            <a:moveTo>
                              <a:pt x="8619744" y="4572"/>
                            </a:moveTo>
                            <a:lnTo>
                              <a:pt x="0" y="4572"/>
                            </a:lnTo>
                            <a:lnTo>
                              <a:pt x="0" y="0"/>
                            </a:lnTo>
                            <a:lnTo>
                              <a:pt x="8619744" y="0"/>
                            </a:lnTo>
                            <a:lnTo>
                              <a:pt x="8619744" y="45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1.840004pt;margin-top:527.039978pt;width:678.720011pt;height:.360031pt;mso-position-horizontal-relative:page;mso-position-vertical-relative:page;z-index:-16866304" id="docshape9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0688">
              <wp:simplePos x="0" y="0"/>
              <wp:positionH relativeFrom="page">
                <wp:posOffset>663956</wp:posOffset>
              </wp:positionH>
              <wp:positionV relativeFrom="page">
                <wp:posOffset>6691945</wp:posOffset>
              </wp:positionV>
              <wp:extent cx="1212215" cy="31496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21221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25022</w:t>
                          </w:r>
                          <w:r>
                            <w:rPr>
                              <w:spacing w:val="-10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w w:val="90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3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18"/>
                            </w:rPr>
                            <w:t>Trees4Good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March</w:t>
                          </w:r>
                          <w:r>
                            <w:rPr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280003pt;margin-top:526.924866pt;width:95.45pt;height:24.8pt;mso-position-horizontal-relative:page;mso-position-vertical-relative:page;z-index:-16865792" type="#_x0000_t202" id="docshape10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25022</w:t>
                    </w:r>
                    <w:r>
                      <w:rPr>
                        <w:spacing w:val="-10"/>
                        <w:w w:val="90"/>
                        <w:sz w:val="18"/>
                      </w:rPr>
                      <w:t> </w:t>
                    </w:r>
                    <w:r>
                      <w:rPr>
                        <w:w w:val="90"/>
                        <w:sz w:val="18"/>
                      </w:rPr>
                      <w:t>–</w:t>
                    </w:r>
                    <w:r>
                      <w:rPr>
                        <w:spacing w:val="32"/>
                        <w:sz w:val="18"/>
                      </w:rPr>
                      <w:t> </w:t>
                    </w:r>
                    <w:r>
                      <w:rPr>
                        <w:spacing w:val="-2"/>
                        <w:w w:val="90"/>
                        <w:sz w:val="18"/>
                      </w:rPr>
                      <w:t>Trees4Good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March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1200">
              <wp:simplePos x="0" y="0"/>
              <wp:positionH relativeFrom="page">
                <wp:posOffset>8202104</wp:posOffset>
              </wp:positionH>
              <wp:positionV relativeFrom="page">
                <wp:posOffset>6691945</wp:posOffset>
              </wp:positionV>
              <wp:extent cx="816610" cy="172085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81661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> of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18"/>
                            </w:rPr>
                            <w:t>22</w: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5.834961pt;margin-top:526.924866pt;width:64.3pt;height:13.55pt;mso-position-horizontal-relative:page;mso-position-vertical-relative:page;z-index:-16865280" type="#_x0000_t202" id="docshape11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> of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7"/>
                        <w:sz w:val="18"/>
                      </w:rPr>
                      <w:fldChar w:fldCharType="begin"/>
                    </w:r>
                    <w:r>
                      <w:rPr>
                        <w:spacing w:val="-7"/>
                        <w:sz w:val="18"/>
                      </w:rPr>
                      <w:instrText> NUMPAGES </w:instrText>
                    </w:r>
                    <w:r>
                      <w:rPr>
                        <w:spacing w:val="-7"/>
                        <w:sz w:val="18"/>
                      </w:rPr>
                      <w:fldChar w:fldCharType="separate"/>
                    </w:r>
                    <w:r>
                      <w:rPr>
                        <w:spacing w:val="-7"/>
                        <w:sz w:val="18"/>
                      </w:rPr>
                      <w:t>22</w:t>
                    </w:r>
                    <w:r>
                      <w:rPr>
                        <w:spacing w:val="-7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2224">
              <wp:simplePos x="0" y="0"/>
              <wp:positionH relativeFrom="page">
                <wp:posOffset>658368</wp:posOffset>
              </wp:positionH>
              <wp:positionV relativeFrom="page">
                <wp:posOffset>6693407</wp:posOffset>
              </wp:positionV>
              <wp:extent cx="8620125" cy="508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862012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20125" h="5080">
                            <a:moveTo>
                              <a:pt x="8619744" y="4572"/>
                            </a:moveTo>
                            <a:lnTo>
                              <a:pt x="0" y="4572"/>
                            </a:lnTo>
                            <a:lnTo>
                              <a:pt x="0" y="0"/>
                            </a:lnTo>
                            <a:lnTo>
                              <a:pt x="8619744" y="0"/>
                            </a:lnTo>
                            <a:lnTo>
                              <a:pt x="8619744" y="45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1.840004pt;margin-top:527.039978pt;width:678.720011pt;height:.360031pt;mso-position-horizontal-relative:page;mso-position-vertical-relative:page;z-index:-16864256" id="docshape14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2736">
              <wp:simplePos x="0" y="0"/>
              <wp:positionH relativeFrom="page">
                <wp:posOffset>663956</wp:posOffset>
              </wp:positionH>
              <wp:positionV relativeFrom="page">
                <wp:posOffset>6691945</wp:posOffset>
              </wp:positionV>
              <wp:extent cx="1212215" cy="31496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121221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25022</w:t>
                          </w:r>
                          <w:r>
                            <w:rPr>
                              <w:spacing w:val="-10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w w:val="90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3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18"/>
                            </w:rPr>
                            <w:t>Trees4Good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March</w:t>
                          </w:r>
                          <w:r>
                            <w:rPr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280003pt;margin-top:526.924866pt;width:95.45pt;height:24.8pt;mso-position-horizontal-relative:page;mso-position-vertical-relative:page;z-index:-16863744" type="#_x0000_t202" id="docshape15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25022</w:t>
                    </w:r>
                    <w:r>
                      <w:rPr>
                        <w:spacing w:val="-10"/>
                        <w:w w:val="90"/>
                        <w:sz w:val="18"/>
                      </w:rPr>
                      <w:t> </w:t>
                    </w:r>
                    <w:r>
                      <w:rPr>
                        <w:w w:val="90"/>
                        <w:sz w:val="18"/>
                      </w:rPr>
                      <w:t>–</w:t>
                    </w:r>
                    <w:r>
                      <w:rPr>
                        <w:spacing w:val="32"/>
                        <w:sz w:val="18"/>
                      </w:rPr>
                      <w:t> </w:t>
                    </w:r>
                    <w:r>
                      <w:rPr>
                        <w:spacing w:val="-2"/>
                        <w:w w:val="90"/>
                        <w:sz w:val="18"/>
                      </w:rPr>
                      <w:t>Trees4Good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March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3248">
              <wp:simplePos x="0" y="0"/>
              <wp:positionH relativeFrom="page">
                <wp:posOffset>8202104</wp:posOffset>
              </wp:positionH>
              <wp:positionV relativeFrom="page">
                <wp:posOffset>6691945</wp:posOffset>
              </wp:positionV>
              <wp:extent cx="816610" cy="17208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81661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20 of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5.834961pt;margin-top:526.924866pt;width:64.3pt;height:13.55pt;mso-position-horizontal-relative:page;mso-position-vertical-relative:page;z-index:-16863232" type="#_x0000_t202" id="docshape16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20 of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7"/>
                        <w:sz w:val="18"/>
                      </w:rPr>
                      <w:t>22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4272">
              <wp:simplePos x="0" y="0"/>
              <wp:positionH relativeFrom="page">
                <wp:posOffset>658368</wp:posOffset>
              </wp:positionH>
              <wp:positionV relativeFrom="page">
                <wp:posOffset>6693407</wp:posOffset>
              </wp:positionV>
              <wp:extent cx="8620125" cy="5080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862012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620125" h="5080">
                            <a:moveTo>
                              <a:pt x="8619744" y="4572"/>
                            </a:moveTo>
                            <a:lnTo>
                              <a:pt x="0" y="4572"/>
                            </a:lnTo>
                            <a:lnTo>
                              <a:pt x="0" y="0"/>
                            </a:lnTo>
                            <a:lnTo>
                              <a:pt x="8619744" y="0"/>
                            </a:lnTo>
                            <a:lnTo>
                              <a:pt x="8619744" y="457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1.840004pt;margin-top:527.039978pt;width:678.720011pt;height:.360031pt;mso-position-horizontal-relative:page;mso-position-vertical-relative:page;z-index:-16862208" id="docshape17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4784">
              <wp:simplePos x="0" y="0"/>
              <wp:positionH relativeFrom="page">
                <wp:posOffset>663956</wp:posOffset>
              </wp:positionH>
              <wp:positionV relativeFrom="page">
                <wp:posOffset>6691945</wp:posOffset>
              </wp:positionV>
              <wp:extent cx="1212215" cy="31496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21221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25022</w:t>
                          </w:r>
                          <w:r>
                            <w:rPr>
                              <w:spacing w:val="-10"/>
                              <w:w w:val="90"/>
                              <w:sz w:val="18"/>
                            </w:rPr>
                            <w:t> </w:t>
                          </w:r>
                          <w:r>
                            <w:rPr>
                              <w:w w:val="90"/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3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w w:val="90"/>
                              <w:sz w:val="18"/>
                            </w:rPr>
                            <w:t>Trees4Good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March</w:t>
                          </w:r>
                          <w:r>
                            <w:rPr>
                              <w:spacing w:val="3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.280003pt;margin-top:526.924866pt;width:95.45pt;height:24.8pt;mso-position-horizontal-relative:page;mso-position-vertical-relative:page;z-index:-16861696" type="#_x0000_t202" id="docshape18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25022</w:t>
                    </w:r>
                    <w:r>
                      <w:rPr>
                        <w:spacing w:val="-10"/>
                        <w:w w:val="90"/>
                        <w:sz w:val="18"/>
                      </w:rPr>
                      <w:t> </w:t>
                    </w:r>
                    <w:r>
                      <w:rPr>
                        <w:w w:val="90"/>
                        <w:sz w:val="18"/>
                      </w:rPr>
                      <w:t>–</w:t>
                    </w:r>
                    <w:r>
                      <w:rPr>
                        <w:spacing w:val="32"/>
                        <w:sz w:val="18"/>
                      </w:rPr>
                      <w:t> </w:t>
                    </w:r>
                    <w:r>
                      <w:rPr>
                        <w:spacing w:val="-2"/>
                        <w:w w:val="90"/>
                        <w:sz w:val="18"/>
                      </w:rPr>
                      <w:t>Trees4Good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March</w:t>
                    </w:r>
                    <w:r>
                      <w:rPr>
                        <w:spacing w:val="31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55296">
              <wp:simplePos x="0" y="0"/>
              <wp:positionH relativeFrom="page">
                <wp:posOffset>8202104</wp:posOffset>
              </wp:positionH>
              <wp:positionV relativeFrom="page">
                <wp:posOffset>6691945</wp:posOffset>
              </wp:positionV>
              <wp:extent cx="816610" cy="172085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81661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7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> of</w:t>
                          </w:r>
                          <w:r>
                            <w:rPr>
                              <w:spacing w:val="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18"/>
                            </w:rPr>
                            <w:t>22</w:t>
                          </w:r>
                          <w:r>
                            <w:rPr>
                              <w:spacing w:val="-7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45.834961pt;margin-top:526.924866pt;width:64.3pt;height:13.55pt;mso-position-horizontal-relative:page;mso-position-vertical-relative:page;z-index:-16861184" type="#_x0000_t202" id="docshape19" filled="false" stroked="false">
              <v:textbox inset="0,0,0,0">
                <w:txbxContent>
                  <w:p>
                    <w:pPr>
                      <w:spacing w:before="27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> of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7"/>
                        <w:sz w:val="18"/>
                      </w:rPr>
                      <w:fldChar w:fldCharType="begin"/>
                    </w:r>
                    <w:r>
                      <w:rPr>
                        <w:spacing w:val="-7"/>
                        <w:sz w:val="18"/>
                      </w:rPr>
                      <w:instrText> NUMPAGES </w:instrText>
                    </w:r>
                    <w:r>
                      <w:rPr>
                        <w:spacing w:val="-7"/>
                        <w:sz w:val="18"/>
                      </w:rPr>
                      <w:fldChar w:fldCharType="separate"/>
                    </w:r>
                    <w:r>
                      <w:rPr>
                        <w:spacing w:val="-7"/>
                        <w:sz w:val="18"/>
                      </w:rPr>
                      <w:t>22</w:t>
                    </w:r>
                    <w:r>
                      <w:rPr>
                        <w:spacing w:val="-7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444544">
          <wp:simplePos x="0" y="0"/>
          <wp:positionH relativeFrom="page">
            <wp:posOffset>817249</wp:posOffset>
          </wp:positionH>
          <wp:positionV relativeFrom="page">
            <wp:posOffset>797124</wp:posOffset>
          </wp:positionV>
          <wp:extent cx="1786507" cy="405612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6507" cy="405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445568">
          <wp:simplePos x="0" y="0"/>
          <wp:positionH relativeFrom="page">
            <wp:posOffset>817249</wp:posOffset>
          </wp:positionH>
          <wp:positionV relativeFrom="page">
            <wp:posOffset>797124</wp:posOffset>
          </wp:positionV>
          <wp:extent cx="1786507" cy="405612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6507" cy="405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447616">
          <wp:simplePos x="0" y="0"/>
          <wp:positionH relativeFrom="page">
            <wp:posOffset>817249</wp:posOffset>
          </wp:positionH>
          <wp:positionV relativeFrom="page">
            <wp:posOffset>797124</wp:posOffset>
          </wp:positionV>
          <wp:extent cx="1786507" cy="40561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6507" cy="405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449664">
          <wp:simplePos x="0" y="0"/>
          <wp:positionH relativeFrom="page">
            <wp:posOffset>817249</wp:posOffset>
          </wp:positionH>
          <wp:positionV relativeFrom="page">
            <wp:posOffset>797124</wp:posOffset>
          </wp:positionV>
          <wp:extent cx="1786507" cy="405612"/>
          <wp:effectExtent l="0" t="0" r="0" b="0"/>
          <wp:wrapNone/>
          <wp:docPr id="16" name="Image 1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6507" cy="405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451712">
          <wp:simplePos x="0" y="0"/>
          <wp:positionH relativeFrom="page">
            <wp:posOffset>817249</wp:posOffset>
          </wp:positionH>
          <wp:positionV relativeFrom="page">
            <wp:posOffset>797124</wp:posOffset>
          </wp:positionV>
          <wp:extent cx="1786507" cy="40561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6507" cy="405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453760">
          <wp:simplePos x="0" y="0"/>
          <wp:positionH relativeFrom="page">
            <wp:posOffset>817249</wp:posOffset>
          </wp:positionH>
          <wp:positionV relativeFrom="page">
            <wp:posOffset>797124</wp:posOffset>
          </wp:positionV>
          <wp:extent cx="1786507" cy="405612"/>
          <wp:effectExtent l="0" t="0" r="0" b="0"/>
          <wp:wrapNone/>
          <wp:docPr id="26" name="Image 2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86507" cy="405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"/>
      <w:lvlJc w:val="left"/>
      <w:pPr>
        <w:ind w:left="1010" w:hanging="33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22" w:hanging="33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24" w:hanging="33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26" w:hanging="33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28" w:hanging="33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30" w:hanging="33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32" w:hanging="33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34" w:hanging="33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6" w:hanging="334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8"/>
      <w:numFmt w:val="decimal"/>
      <w:lvlText w:val="%1."/>
      <w:lvlJc w:val="left"/>
      <w:pPr>
        <w:ind w:left="824" w:hanging="480"/>
        <w:jc w:val="left"/>
      </w:pPr>
      <w:rPr>
        <w:rFonts w:hint="default" w:ascii="Tahoma" w:hAnsi="Tahoma" w:eastAsia="Tahoma" w:cs="Tahoma"/>
        <w:b/>
        <w:bCs/>
        <w:i w:val="0"/>
        <w:iCs w:val="0"/>
        <w:spacing w:val="-3"/>
        <w:w w:val="9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1022" w:hanging="33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66" w:hanging="3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13" w:hanging="3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60" w:hanging="3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06" w:hanging="3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253" w:hanging="3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700" w:hanging="3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46" w:hanging="339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."/>
      <w:lvlJc w:val="left"/>
      <w:pPr>
        <w:ind w:left="824" w:hanging="480"/>
        <w:jc w:val="left"/>
      </w:pPr>
      <w:rPr>
        <w:rFonts w:hint="default" w:ascii="Tahoma" w:hAnsi="Tahoma" w:eastAsia="Tahoma" w:cs="Tahoma"/>
        <w:b/>
        <w:bCs/>
        <w:i w:val="0"/>
        <w:iCs w:val="0"/>
        <w:spacing w:val="-3"/>
        <w:w w:val="90"/>
        <w:sz w:val="22"/>
        <w:szCs w:val="22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677" w:hanging="399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53" w:hanging="3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6" w:hanging="3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00" w:hanging="3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73" w:hanging="3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46" w:hanging="3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920" w:hanging="3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93" w:hanging="399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22" w:hanging="339"/>
        <w:jc w:val="left"/>
      </w:pPr>
      <w:rPr>
        <w:rFonts w:hint="default" w:ascii="Verdana" w:hAnsi="Verdana" w:eastAsia="Verdana" w:cs="Verdana"/>
        <w:b w:val="0"/>
        <w:bCs w:val="0"/>
        <w:i w:val="0"/>
        <w:iCs w:val="0"/>
        <w:spacing w:val="-4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22" w:hanging="3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24" w:hanging="3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26" w:hanging="3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28" w:hanging="3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30" w:hanging="3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32" w:hanging="3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34" w:hanging="3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6" w:hanging="33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022" w:hanging="33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22" w:hanging="3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24" w:hanging="3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26" w:hanging="3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28" w:hanging="3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30" w:hanging="3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32" w:hanging="3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34" w:hanging="3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36" w:hanging="33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4" w:hanging="480"/>
        <w:jc w:val="left"/>
      </w:pPr>
      <w:rPr>
        <w:rFonts w:hint="default" w:ascii="Tahoma" w:hAnsi="Tahoma" w:eastAsia="Tahoma" w:cs="Tahoma"/>
        <w:b/>
        <w:bCs/>
        <w:i w:val="0"/>
        <w:iCs w:val="0"/>
        <w:spacing w:val="-3"/>
        <w:w w:val="90"/>
        <w:sz w:val="22"/>
        <w:szCs w:val="22"/>
        <w:lang w:val="en-US" w:eastAsia="en-US" w:bidi="ar-SA"/>
      </w:rPr>
    </w:lvl>
    <w:lvl w:ilvl="1">
      <w:start w:val="0"/>
      <w:numFmt w:val="bullet"/>
      <w:lvlText w:val=""/>
      <w:lvlJc w:val="left"/>
      <w:pPr>
        <w:ind w:left="1677" w:hanging="317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2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53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26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00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73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46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920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93" w:hanging="317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35"/>
      <w:ind w:left="824" w:hanging="479"/>
      <w:outlineLvl w:val="1"/>
    </w:pPr>
    <w:rPr>
      <w:rFonts w:ascii="Tahoma" w:hAnsi="Tahoma" w:eastAsia="Tahoma" w:cs="Tahoma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45"/>
      <w:outlineLvl w:val="2"/>
    </w:pPr>
    <w:rPr>
      <w:rFonts w:ascii="Tahoma" w:hAnsi="Tahoma" w:eastAsia="Tahoma" w:cs="Tahoma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35"/>
      <w:ind w:left="1022" w:hanging="339"/>
    </w:pPr>
    <w:rPr>
      <w:rFonts w:ascii="Verdana" w:hAnsi="Verdana" w:eastAsia="Verdana" w:cs="Verdan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yperlink" Target="mailto:ben.macnaghten@valuationconsulting.com" TargetMode="External"/><Relationship Id="rId10" Type="http://schemas.openxmlformats.org/officeDocument/2006/relationships/image" Target="media/image3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yperlink" Target="mailto:mrbobo@btinternet.com" TargetMode="External"/><Relationship Id="rId14" Type="http://schemas.openxmlformats.org/officeDocument/2006/relationships/hyperlink" Target="mailto:kevin@trees4good.co.uk" TargetMode="External"/><Relationship Id="rId15" Type="http://schemas.openxmlformats.org/officeDocument/2006/relationships/hyperlink" Target="mailto:alex@trees4good.co.uk" TargetMode="External"/><Relationship Id="rId16" Type="http://schemas.openxmlformats.org/officeDocument/2006/relationships/image" Target="media/image4.jpeg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header" Target="header4.xml"/><Relationship Id="rId20" Type="http://schemas.openxmlformats.org/officeDocument/2006/relationships/footer" Target="footer4.xml"/><Relationship Id="rId21" Type="http://schemas.openxmlformats.org/officeDocument/2006/relationships/header" Target="header5.xml"/><Relationship Id="rId22" Type="http://schemas.openxmlformats.org/officeDocument/2006/relationships/footer" Target="footer5.xml"/><Relationship Id="rId23" Type="http://schemas.openxmlformats.org/officeDocument/2006/relationships/header" Target="header6.xml"/><Relationship Id="rId24" Type="http://schemas.openxmlformats.org/officeDocument/2006/relationships/footer" Target="footer6.xml"/><Relationship Id="rId25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Aashna Dodhia</dc:creator>
  <dc:title>Microsoft Word - 25022_Trees 4 Good DRAFT_v8_size 12 text</dc:title>
  <dcterms:created xsi:type="dcterms:W3CDTF">2026-08-02T11:48:42Z</dcterms:created>
  <dcterms:modified xsi:type="dcterms:W3CDTF">2026-08-02T11:48:42Z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LastSaved">
    <vt:filetime>2026-08-02T00:00:00Z</vt:filetime>
  </property>
  <property fmtid="{D5CDD505-2E9C-101B-9397-08002B2CF9AE}" pid="4" name="Producer">
    <vt:lpwstr>Microsoft: Print To PDF</vt:lpwstr>
  </property>
</Properties>
</file>